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A4EF4" w14:textId="7D95F6DF" w:rsidR="001246B1" w:rsidRPr="001246B1" w:rsidRDefault="001246B1" w:rsidP="001246B1">
      <w:pPr>
        <w:spacing w:after="0" w:line="276" w:lineRule="auto"/>
        <w:ind w:left="6" w:hanging="10"/>
        <w:jc w:val="center"/>
        <w:rPr>
          <w:rFonts w:ascii="Gill Sans MT" w:hAnsi="Gill Sans MT" w:cs="Times New Roman"/>
          <w:b/>
          <w:bCs/>
          <w:color w:val="003399"/>
          <w:sz w:val="24"/>
          <w:lang w:val="en-GB"/>
        </w:rPr>
      </w:pPr>
      <w:r w:rsidRPr="001246B1">
        <w:rPr>
          <w:rFonts w:ascii="Gill Sans MT" w:hAnsi="Gill Sans MT"/>
          <w:noProof/>
          <w:sz w:val="24"/>
          <w:lang w:val="en-GB"/>
        </w:rPr>
        <w:drawing>
          <wp:inline distT="0" distB="0" distL="0" distR="0" wp14:anchorId="36E2E6BB" wp14:editId="39BA715F">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777E046B" w14:textId="77777777" w:rsidR="001246B1" w:rsidRPr="001246B1" w:rsidRDefault="001246B1" w:rsidP="001246B1">
      <w:pPr>
        <w:spacing w:after="0" w:line="276" w:lineRule="auto"/>
        <w:ind w:left="6" w:hanging="10"/>
        <w:jc w:val="center"/>
        <w:rPr>
          <w:rFonts w:ascii="Gill Sans MT" w:hAnsi="Gill Sans MT" w:cs="Times New Roman"/>
          <w:b/>
          <w:bCs/>
          <w:color w:val="003399"/>
          <w:sz w:val="24"/>
          <w:lang w:val="en-GB"/>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C53888" w:rsidRPr="001246B1" w14:paraId="522D6C2C" w14:textId="77777777" w:rsidTr="003C1E4F">
        <w:trPr>
          <w:trHeight w:val="300"/>
        </w:trPr>
        <w:tc>
          <w:tcPr>
            <w:tcW w:w="9923" w:type="dxa"/>
          </w:tcPr>
          <w:p w14:paraId="0DE6E28B" w14:textId="77777777" w:rsidR="009B02DE" w:rsidRPr="001246B1" w:rsidRDefault="009B02DE" w:rsidP="001246B1">
            <w:pPr>
              <w:pStyle w:val="p1"/>
              <w:spacing w:line="276" w:lineRule="auto"/>
              <w:jc w:val="center"/>
              <w:rPr>
                <w:rFonts w:ascii="Gill Sans MT" w:eastAsia="Verdana" w:hAnsi="Gill Sans MT"/>
                <w:color w:val="003399"/>
                <w:kern w:val="2"/>
                <w:sz w:val="24"/>
                <w:szCs w:val="24"/>
                <w:lang w:val="en-GB" w:eastAsia="en-US"/>
                <w14:ligatures w14:val="standardContextual"/>
              </w:rPr>
            </w:pPr>
          </w:p>
          <w:p w14:paraId="4AB76D15" w14:textId="7F3E238D" w:rsidR="00C53888" w:rsidRPr="001246B1" w:rsidRDefault="00C53888" w:rsidP="001246B1">
            <w:pPr>
              <w:pStyle w:val="p1"/>
              <w:spacing w:line="276" w:lineRule="auto"/>
              <w:jc w:val="center"/>
              <w:rPr>
                <w:rFonts w:ascii="Gill Sans MT" w:hAnsi="Gill Sans MT"/>
                <w:color w:val="auto"/>
                <w:sz w:val="24"/>
                <w:szCs w:val="24"/>
                <w:lang w:val="en-US"/>
              </w:rPr>
            </w:pPr>
            <w:r w:rsidRPr="001246B1">
              <w:rPr>
                <w:rFonts w:ascii="Gill Sans MT" w:eastAsia="Verdana" w:hAnsi="Gill Sans MT"/>
                <w:color w:val="auto"/>
                <w:kern w:val="2"/>
                <w:sz w:val="24"/>
                <w:szCs w:val="24"/>
                <w:lang w:val="en-GB" w:eastAsia="en-US"/>
                <w14:ligatures w14:val="standardContextual"/>
              </w:rPr>
              <w:t>Guideline</w:t>
            </w:r>
            <w:r w:rsidR="00F064EB" w:rsidRPr="001246B1">
              <w:rPr>
                <w:rFonts w:ascii="Gill Sans MT" w:eastAsia="Verdana" w:hAnsi="Gill Sans MT"/>
                <w:color w:val="auto"/>
                <w:kern w:val="2"/>
                <w:sz w:val="24"/>
                <w:szCs w:val="24"/>
                <w:lang w:val="en-GB" w:eastAsia="en-US"/>
                <w14:ligatures w14:val="standardContextual"/>
              </w:rPr>
              <w:t>s</w:t>
            </w:r>
            <w:r w:rsidRPr="001246B1">
              <w:rPr>
                <w:rFonts w:ascii="Gill Sans MT" w:eastAsia="Verdana" w:hAnsi="Gill Sans MT"/>
                <w:color w:val="auto"/>
                <w:kern w:val="2"/>
                <w:sz w:val="24"/>
                <w:szCs w:val="24"/>
                <w:lang w:val="en-GB" w:eastAsia="en-US"/>
                <w14:ligatures w14:val="standardContextual"/>
              </w:rPr>
              <w:t xml:space="preserve"> on </w:t>
            </w:r>
            <w:r w:rsidR="001D106B" w:rsidRPr="001246B1">
              <w:rPr>
                <w:rFonts w:ascii="Gill Sans MT" w:eastAsia="Verdana" w:hAnsi="Gill Sans MT"/>
                <w:color w:val="auto"/>
                <w:kern w:val="2"/>
                <w:sz w:val="24"/>
                <w:szCs w:val="24"/>
                <w:lang w:val="en-GB" w:eastAsia="en-US"/>
                <w14:ligatures w14:val="standardContextual"/>
              </w:rPr>
              <w:t xml:space="preserve">the </w:t>
            </w:r>
            <w:r w:rsidRPr="001246B1">
              <w:rPr>
                <w:rFonts w:ascii="Gill Sans MT" w:eastAsia="Verdana" w:hAnsi="Gill Sans MT"/>
                <w:color w:val="auto"/>
                <w:kern w:val="2"/>
                <w:sz w:val="24"/>
                <w:szCs w:val="24"/>
                <w:lang w:val="en-GB" w:eastAsia="en-US"/>
                <w14:ligatures w14:val="standardContextual"/>
              </w:rPr>
              <w:t>Submission of Applications for Registration in Common Technical Document Format: Quality</w:t>
            </w:r>
          </w:p>
          <w:p w14:paraId="349BA59E" w14:textId="20D417C8" w:rsidR="00C53888" w:rsidRPr="001246B1" w:rsidRDefault="00C53888" w:rsidP="001246B1">
            <w:pPr>
              <w:spacing w:before="120" w:after="80" w:line="276" w:lineRule="auto"/>
              <w:ind w:left="0" w:right="284" w:firstLine="0"/>
              <w:rPr>
                <w:rFonts w:ascii="Gill Sans MT" w:hAnsi="Gill Sans MT" w:cs="Times New Roman"/>
                <w:sz w:val="24"/>
              </w:rPr>
            </w:pPr>
          </w:p>
        </w:tc>
      </w:tr>
    </w:tbl>
    <w:p w14:paraId="4AA785A2" w14:textId="77777777" w:rsidR="001246B1" w:rsidRPr="001246B1" w:rsidRDefault="001246B1" w:rsidP="001246B1">
      <w:pPr>
        <w:spacing w:line="276" w:lineRule="auto"/>
        <w:ind w:left="0" w:firstLine="0"/>
        <w:rPr>
          <w:rFonts w:ascii="Gill Sans MT" w:hAnsi="Gill Sans MT"/>
          <w:b/>
          <w:sz w:val="24"/>
          <w:lang w:val="en-GB"/>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1246B1" w:rsidRPr="001246B1" w14:paraId="6E33310F" w14:textId="77777777" w:rsidTr="00E136E1">
        <w:trPr>
          <w:trHeight w:val="300"/>
        </w:trPr>
        <w:tc>
          <w:tcPr>
            <w:tcW w:w="9923" w:type="dxa"/>
          </w:tcPr>
          <w:p w14:paraId="17BE6CC0" w14:textId="77777777" w:rsidR="001246B1" w:rsidRPr="001246B1" w:rsidRDefault="001246B1" w:rsidP="001246B1">
            <w:pPr>
              <w:spacing w:before="120" w:after="80" w:line="276" w:lineRule="auto"/>
              <w:ind w:left="281" w:right="284" w:firstLine="0"/>
              <w:jc w:val="center"/>
              <w:rPr>
                <w:rFonts w:ascii="Gill Sans MT" w:hAnsi="Gill Sans MT"/>
                <w:sz w:val="24"/>
                <w:lang w:val="en-GB"/>
              </w:rPr>
            </w:pPr>
            <w:r w:rsidRPr="001246B1">
              <w:rPr>
                <w:rFonts w:ascii="Gill Sans MT" w:hAnsi="Gill Sans MT"/>
                <w:sz w:val="24"/>
                <w:lang w:val="en-GB"/>
              </w:rPr>
              <w:t>Document Number: XXX</w:t>
            </w:r>
          </w:p>
          <w:p w14:paraId="7F5EAD81" w14:textId="77777777" w:rsidR="001246B1" w:rsidRPr="001246B1" w:rsidRDefault="001246B1" w:rsidP="001246B1">
            <w:pPr>
              <w:spacing w:before="120" w:after="80" w:line="276" w:lineRule="auto"/>
              <w:ind w:left="281" w:right="284" w:firstLine="0"/>
              <w:jc w:val="center"/>
              <w:rPr>
                <w:rFonts w:ascii="Gill Sans MT" w:hAnsi="Gill Sans MT"/>
                <w:sz w:val="24"/>
                <w:lang w:val="en-GB"/>
              </w:rPr>
            </w:pPr>
            <w:r w:rsidRPr="001246B1">
              <w:rPr>
                <w:rFonts w:ascii="Gill Sans MT" w:hAnsi="Gill Sans MT"/>
                <w:sz w:val="24"/>
                <w:lang w:val="en-GB"/>
              </w:rPr>
              <w:t>Version: XX</w:t>
            </w:r>
          </w:p>
        </w:tc>
      </w:tr>
    </w:tbl>
    <w:p w14:paraId="3CEE0EC0" w14:textId="77777777" w:rsidR="001246B1" w:rsidRPr="001246B1" w:rsidRDefault="001246B1" w:rsidP="001246B1">
      <w:pPr>
        <w:spacing w:line="276" w:lineRule="auto"/>
        <w:ind w:left="0" w:firstLine="0"/>
        <w:jc w:val="both"/>
        <w:rPr>
          <w:rFonts w:ascii="Gill Sans MT" w:hAnsi="Gill Sans MT"/>
          <w:b/>
          <w:sz w:val="24"/>
          <w:lang w:val="en-GB"/>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1246B1" w:rsidRPr="001246B1" w14:paraId="7307B292" w14:textId="77777777" w:rsidTr="00E136E1">
        <w:trPr>
          <w:trHeight w:val="300"/>
        </w:trPr>
        <w:tc>
          <w:tcPr>
            <w:tcW w:w="392" w:type="dxa"/>
          </w:tcPr>
          <w:p w14:paraId="13B8B0CC" w14:textId="77777777" w:rsidR="001246B1" w:rsidRPr="001246B1" w:rsidRDefault="001246B1" w:rsidP="001246B1">
            <w:pPr>
              <w:spacing w:before="120" w:after="40" w:line="276" w:lineRule="auto"/>
              <w:ind w:left="284" w:right="170"/>
              <w:rPr>
                <w:rFonts w:ascii="Gill Sans MT" w:hAnsi="Gill Sans MT"/>
                <w:b/>
                <w:sz w:val="24"/>
                <w:lang w:val="en-GB"/>
              </w:rPr>
            </w:pPr>
          </w:p>
        </w:tc>
        <w:tc>
          <w:tcPr>
            <w:tcW w:w="7229" w:type="dxa"/>
          </w:tcPr>
          <w:p w14:paraId="2F633BCE" w14:textId="77777777" w:rsidR="001246B1" w:rsidRPr="001246B1" w:rsidRDefault="001246B1" w:rsidP="001246B1">
            <w:pPr>
              <w:spacing w:before="120" w:after="40" w:line="276" w:lineRule="auto"/>
              <w:ind w:left="284" w:right="170"/>
              <w:rPr>
                <w:rFonts w:ascii="Gill Sans MT" w:hAnsi="Gill Sans MT"/>
                <w:b/>
                <w:sz w:val="24"/>
                <w:lang w:val="en-GB"/>
              </w:rPr>
            </w:pPr>
            <w:r w:rsidRPr="001246B1">
              <w:rPr>
                <w:rFonts w:ascii="Gill Sans MT" w:hAnsi="Gill Sans MT"/>
                <w:b/>
                <w:sz w:val="24"/>
                <w:lang w:val="en-GB"/>
              </w:rPr>
              <w:t>Steps followed</w:t>
            </w:r>
          </w:p>
        </w:tc>
        <w:tc>
          <w:tcPr>
            <w:tcW w:w="2126" w:type="dxa"/>
          </w:tcPr>
          <w:p w14:paraId="0CFA226F" w14:textId="77777777" w:rsidR="001246B1" w:rsidRPr="001246B1" w:rsidRDefault="001246B1" w:rsidP="001246B1">
            <w:pPr>
              <w:spacing w:before="120" w:after="40" w:line="276" w:lineRule="auto"/>
              <w:ind w:right="176"/>
              <w:rPr>
                <w:rFonts w:ascii="Gill Sans MT" w:hAnsi="Gill Sans MT"/>
                <w:b/>
                <w:sz w:val="24"/>
                <w:lang w:val="en-GB"/>
              </w:rPr>
            </w:pPr>
            <w:r w:rsidRPr="001246B1">
              <w:rPr>
                <w:rFonts w:ascii="Gill Sans MT" w:hAnsi="Gill Sans MT"/>
                <w:b/>
                <w:sz w:val="24"/>
                <w:lang w:val="en-GB"/>
              </w:rPr>
              <w:t>Date</w:t>
            </w:r>
          </w:p>
        </w:tc>
      </w:tr>
      <w:tr w:rsidR="001246B1" w:rsidRPr="001246B1" w14:paraId="1CFBDAC2" w14:textId="77777777" w:rsidTr="00E136E1">
        <w:tc>
          <w:tcPr>
            <w:tcW w:w="392" w:type="dxa"/>
          </w:tcPr>
          <w:p w14:paraId="095A785D" w14:textId="77777777" w:rsidR="001246B1" w:rsidRPr="001246B1" w:rsidRDefault="001246B1" w:rsidP="001246B1">
            <w:pPr>
              <w:spacing w:before="120" w:after="40" w:line="276" w:lineRule="auto"/>
              <w:ind w:left="0" w:firstLine="0"/>
              <w:rPr>
                <w:rFonts w:ascii="Gill Sans MT" w:hAnsi="Gill Sans MT"/>
                <w:bCs/>
                <w:sz w:val="24"/>
                <w:lang w:val="en-GB"/>
              </w:rPr>
            </w:pPr>
            <w:r w:rsidRPr="001246B1">
              <w:rPr>
                <w:rFonts w:ascii="Gill Sans MT" w:hAnsi="Gill Sans MT"/>
                <w:bCs/>
                <w:sz w:val="24"/>
                <w:lang w:val="en-GB"/>
              </w:rPr>
              <w:t>1</w:t>
            </w:r>
          </w:p>
        </w:tc>
        <w:tc>
          <w:tcPr>
            <w:tcW w:w="7229" w:type="dxa"/>
          </w:tcPr>
          <w:p w14:paraId="6EC83BDC" w14:textId="77777777" w:rsidR="001246B1" w:rsidRPr="001246B1" w:rsidRDefault="001246B1" w:rsidP="001246B1">
            <w:pPr>
              <w:spacing w:before="120" w:after="40" w:line="276" w:lineRule="auto"/>
              <w:ind w:left="284" w:right="170"/>
              <w:rPr>
                <w:rFonts w:ascii="Gill Sans MT" w:hAnsi="Gill Sans MT"/>
                <w:bCs/>
                <w:sz w:val="24"/>
                <w:lang w:val="en-GB"/>
              </w:rPr>
            </w:pPr>
            <w:r w:rsidRPr="001246B1">
              <w:rPr>
                <w:rFonts w:ascii="Gill Sans MT" w:hAnsi="Gill Sans MT"/>
                <w:bCs/>
                <w:sz w:val="24"/>
                <w:lang w:val="en-GB"/>
              </w:rPr>
              <w:t>Initial draft produced by ZAZIBONA Guidance Document Review and Drafting Technical Working Group</w:t>
            </w:r>
          </w:p>
        </w:tc>
        <w:tc>
          <w:tcPr>
            <w:tcW w:w="2126" w:type="dxa"/>
          </w:tcPr>
          <w:p w14:paraId="12AD49FB" w14:textId="77777777" w:rsidR="001246B1" w:rsidRPr="001246B1" w:rsidRDefault="001246B1" w:rsidP="001246B1">
            <w:pPr>
              <w:spacing w:before="120" w:after="40" w:line="276" w:lineRule="auto"/>
              <w:ind w:right="176"/>
              <w:rPr>
                <w:rFonts w:ascii="Gill Sans MT" w:hAnsi="Gill Sans MT"/>
                <w:bCs/>
                <w:sz w:val="24"/>
                <w:lang w:val="en-GB"/>
              </w:rPr>
            </w:pPr>
            <w:r w:rsidRPr="001246B1">
              <w:rPr>
                <w:rFonts w:ascii="Gill Sans MT" w:hAnsi="Gill Sans MT"/>
                <w:bCs/>
                <w:sz w:val="24"/>
                <w:lang w:val="en-GB"/>
              </w:rPr>
              <w:t>November 2025</w:t>
            </w:r>
          </w:p>
        </w:tc>
      </w:tr>
      <w:tr w:rsidR="001246B1" w:rsidRPr="001246B1" w14:paraId="413DF1C3" w14:textId="77777777" w:rsidTr="00E136E1">
        <w:trPr>
          <w:trHeight w:val="300"/>
        </w:trPr>
        <w:tc>
          <w:tcPr>
            <w:tcW w:w="392" w:type="dxa"/>
          </w:tcPr>
          <w:p w14:paraId="0503FD47" w14:textId="77777777" w:rsidR="001246B1" w:rsidRPr="001246B1" w:rsidRDefault="001246B1" w:rsidP="001246B1">
            <w:pPr>
              <w:spacing w:before="120" w:after="40" w:line="276" w:lineRule="auto"/>
              <w:ind w:left="0" w:right="170" w:firstLine="0"/>
              <w:rPr>
                <w:rFonts w:ascii="Gill Sans MT" w:hAnsi="Gill Sans MT"/>
                <w:bCs/>
                <w:sz w:val="24"/>
                <w:lang w:val="en-GB"/>
              </w:rPr>
            </w:pPr>
            <w:r w:rsidRPr="001246B1">
              <w:rPr>
                <w:rFonts w:ascii="Gill Sans MT" w:hAnsi="Gill Sans MT"/>
                <w:bCs/>
                <w:sz w:val="24"/>
                <w:lang w:val="en-GB"/>
              </w:rPr>
              <w:t>2</w:t>
            </w:r>
          </w:p>
        </w:tc>
        <w:tc>
          <w:tcPr>
            <w:tcW w:w="7229" w:type="dxa"/>
          </w:tcPr>
          <w:p w14:paraId="05183422" w14:textId="77777777" w:rsidR="001246B1" w:rsidRPr="001246B1" w:rsidRDefault="001246B1" w:rsidP="001246B1">
            <w:pPr>
              <w:spacing w:before="120" w:after="40" w:line="276" w:lineRule="auto"/>
              <w:ind w:left="284" w:right="170"/>
              <w:rPr>
                <w:rFonts w:ascii="Gill Sans MT" w:hAnsi="Gill Sans MT"/>
                <w:bCs/>
                <w:sz w:val="24"/>
                <w:lang w:val="en-GB"/>
              </w:rPr>
            </w:pPr>
            <w:r w:rsidRPr="001246B1">
              <w:rPr>
                <w:rFonts w:ascii="Gill Sans MT" w:hAnsi="Gill Sans MT"/>
                <w:bCs/>
                <w:sz w:val="24"/>
                <w:lang w:val="en-GB"/>
              </w:rPr>
              <w:t>Drafting incorporating ZAZIBONA Participating Member States comments</w:t>
            </w:r>
          </w:p>
        </w:tc>
        <w:tc>
          <w:tcPr>
            <w:tcW w:w="2126" w:type="dxa"/>
          </w:tcPr>
          <w:p w14:paraId="0C94BDB1" w14:textId="77777777" w:rsidR="001246B1" w:rsidRPr="001246B1" w:rsidRDefault="001246B1" w:rsidP="001246B1">
            <w:pPr>
              <w:spacing w:before="120" w:after="40" w:line="276" w:lineRule="auto"/>
              <w:ind w:right="176"/>
              <w:rPr>
                <w:rFonts w:ascii="Gill Sans MT" w:hAnsi="Gill Sans MT"/>
                <w:b/>
                <w:sz w:val="24"/>
                <w:lang w:val="en-GB"/>
              </w:rPr>
            </w:pPr>
          </w:p>
        </w:tc>
      </w:tr>
      <w:tr w:rsidR="001246B1" w:rsidRPr="001246B1" w14:paraId="5C20D180" w14:textId="77777777" w:rsidTr="00E136E1">
        <w:trPr>
          <w:trHeight w:val="300"/>
        </w:trPr>
        <w:tc>
          <w:tcPr>
            <w:tcW w:w="392" w:type="dxa"/>
          </w:tcPr>
          <w:p w14:paraId="0070A41B" w14:textId="77777777" w:rsidR="001246B1" w:rsidRPr="001246B1" w:rsidRDefault="001246B1" w:rsidP="001246B1">
            <w:pPr>
              <w:spacing w:before="120" w:after="40" w:line="276" w:lineRule="auto"/>
              <w:ind w:left="0" w:right="170" w:firstLine="0"/>
              <w:rPr>
                <w:rFonts w:ascii="Gill Sans MT" w:hAnsi="Gill Sans MT"/>
                <w:bCs/>
                <w:sz w:val="24"/>
                <w:lang w:val="en-GB"/>
              </w:rPr>
            </w:pPr>
            <w:r w:rsidRPr="001246B1">
              <w:rPr>
                <w:rFonts w:ascii="Gill Sans MT" w:hAnsi="Gill Sans MT"/>
                <w:bCs/>
                <w:sz w:val="24"/>
                <w:lang w:val="en-GB"/>
              </w:rPr>
              <w:t>3</w:t>
            </w:r>
          </w:p>
        </w:tc>
        <w:tc>
          <w:tcPr>
            <w:tcW w:w="7229" w:type="dxa"/>
          </w:tcPr>
          <w:p w14:paraId="7C544040" w14:textId="77777777" w:rsidR="001246B1" w:rsidRPr="001246B1" w:rsidRDefault="001246B1" w:rsidP="001246B1">
            <w:pPr>
              <w:spacing w:before="120" w:after="40" w:line="276" w:lineRule="auto"/>
              <w:ind w:left="284" w:right="170"/>
              <w:rPr>
                <w:rFonts w:ascii="Gill Sans MT" w:hAnsi="Gill Sans MT"/>
                <w:bCs/>
                <w:sz w:val="24"/>
                <w:lang w:val="en-GB"/>
              </w:rPr>
            </w:pPr>
            <w:r w:rsidRPr="001246B1">
              <w:rPr>
                <w:rFonts w:ascii="Gill Sans MT" w:hAnsi="Gill Sans MT"/>
                <w:bCs/>
                <w:sz w:val="24"/>
                <w:lang w:val="en-GB"/>
              </w:rPr>
              <w:t>Drafting incorporating Stakeholders comments</w:t>
            </w:r>
          </w:p>
        </w:tc>
        <w:tc>
          <w:tcPr>
            <w:tcW w:w="2126" w:type="dxa"/>
          </w:tcPr>
          <w:p w14:paraId="4731CA0B" w14:textId="77777777" w:rsidR="001246B1" w:rsidRPr="001246B1" w:rsidRDefault="001246B1" w:rsidP="001246B1">
            <w:pPr>
              <w:spacing w:before="120" w:after="40" w:line="276" w:lineRule="auto"/>
              <w:ind w:right="176"/>
              <w:rPr>
                <w:rFonts w:ascii="Gill Sans MT" w:hAnsi="Gill Sans MT"/>
                <w:b/>
                <w:sz w:val="24"/>
                <w:lang w:val="en-GB"/>
              </w:rPr>
            </w:pPr>
          </w:p>
        </w:tc>
      </w:tr>
      <w:tr w:rsidR="001246B1" w:rsidRPr="001246B1" w14:paraId="22D541D7" w14:textId="77777777" w:rsidTr="00E136E1">
        <w:trPr>
          <w:trHeight w:val="300"/>
        </w:trPr>
        <w:tc>
          <w:tcPr>
            <w:tcW w:w="392" w:type="dxa"/>
          </w:tcPr>
          <w:p w14:paraId="7211FC9B" w14:textId="77777777" w:rsidR="001246B1" w:rsidRPr="001246B1" w:rsidRDefault="001246B1" w:rsidP="001246B1">
            <w:pPr>
              <w:spacing w:before="120" w:after="40" w:line="276" w:lineRule="auto"/>
              <w:ind w:left="0" w:right="170" w:firstLine="0"/>
              <w:rPr>
                <w:rFonts w:ascii="Gill Sans MT" w:hAnsi="Gill Sans MT"/>
                <w:bCs/>
                <w:sz w:val="24"/>
                <w:lang w:val="en-GB"/>
              </w:rPr>
            </w:pPr>
            <w:r w:rsidRPr="001246B1">
              <w:rPr>
                <w:rFonts w:ascii="Gill Sans MT" w:hAnsi="Gill Sans MT"/>
                <w:bCs/>
                <w:sz w:val="24"/>
                <w:lang w:val="en-GB"/>
              </w:rPr>
              <w:t>4</w:t>
            </w:r>
          </w:p>
        </w:tc>
        <w:tc>
          <w:tcPr>
            <w:tcW w:w="7229" w:type="dxa"/>
          </w:tcPr>
          <w:p w14:paraId="3714AFBC" w14:textId="77777777" w:rsidR="001246B1" w:rsidRPr="001246B1" w:rsidRDefault="001246B1" w:rsidP="001246B1">
            <w:pPr>
              <w:spacing w:before="120" w:after="40" w:line="276" w:lineRule="auto"/>
              <w:ind w:left="284" w:right="170"/>
              <w:rPr>
                <w:rFonts w:ascii="Gill Sans MT" w:hAnsi="Gill Sans MT"/>
                <w:bCs/>
                <w:sz w:val="24"/>
                <w:lang w:val="en-GB"/>
              </w:rPr>
            </w:pPr>
            <w:r w:rsidRPr="001246B1">
              <w:rPr>
                <w:rFonts w:ascii="Gill Sans MT" w:hAnsi="Gill Sans MT"/>
                <w:bCs/>
                <w:sz w:val="24"/>
                <w:lang w:val="en-GB"/>
              </w:rPr>
              <w:t xml:space="preserve">Final draft incorporating ZAZIBONA Participating Member States and Stakeholder comments </w:t>
            </w:r>
          </w:p>
        </w:tc>
        <w:tc>
          <w:tcPr>
            <w:tcW w:w="2126" w:type="dxa"/>
          </w:tcPr>
          <w:p w14:paraId="2FA688A7" w14:textId="77777777" w:rsidR="001246B1" w:rsidRPr="001246B1" w:rsidRDefault="001246B1" w:rsidP="001246B1">
            <w:pPr>
              <w:spacing w:before="120" w:after="40" w:line="276" w:lineRule="auto"/>
              <w:ind w:right="176"/>
              <w:rPr>
                <w:rFonts w:ascii="Gill Sans MT" w:hAnsi="Gill Sans MT"/>
                <w:b/>
                <w:sz w:val="24"/>
                <w:lang w:val="en-GB"/>
              </w:rPr>
            </w:pPr>
          </w:p>
        </w:tc>
      </w:tr>
      <w:tr w:rsidR="001246B1" w:rsidRPr="001246B1" w14:paraId="13F5EF11" w14:textId="77777777" w:rsidTr="00E136E1">
        <w:trPr>
          <w:trHeight w:val="300"/>
        </w:trPr>
        <w:tc>
          <w:tcPr>
            <w:tcW w:w="392" w:type="dxa"/>
            <w:tcBorders>
              <w:top w:val="dotted" w:sz="4" w:space="0" w:color="auto"/>
              <w:bottom w:val="dotted" w:sz="4" w:space="0" w:color="auto"/>
            </w:tcBorders>
          </w:tcPr>
          <w:p w14:paraId="6A4BA068" w14:textId="77777777" w:rsidR="001246B1" w:rsidRPr="001246B1" w:rsidRDefault="001246B1" w:rsidP="001246B1">
            <w:pPr>
              <w:spacing w:before="60" w:after="60" w:line="276" w:lineRule="auto"/>
              <w:ind w:left="0" w:right="284" w:firstLine="0"/>
              <w:rPr>
                <w:rFonts w:ascii="Gill Sans MT" w:hAnsi="Gill Sans MT"/>
                <w:bCs/>
                <w:sz w:val="24"/>
                <w:lang w:val="en-GB"/>
              </w:rPr>
            </w:pPr>
            <w:r w:rsidRPr="001246B1">
              <w:rPr>
                <w:rFonts w:ascii="Gill Sans MT" w:hAnsi="Gill Sans MT"/>
                <w:bCs/>
                <w:sz w:val="24"/>
                <w:lang w:val="en-GB"/>
              </w:rPr>
              <w:t>5</w:t>
            </w:r>
          </w:p>
        </w:tc>
        <w:tc>
          <w:tcPr>
            <w:tcW w:w="7229" w:type="dxa"/>
            <w:tcBorders>
              <w:top w:val="dotted" w:sz="4" w:space="0" w:color="auto"/>
              <w:bottom w:val="dotted" w:sz="4" w:space="0" w:color="auto"/>
            </w:tcBorders>
          </w:tcPr>
          <w:p w14:paraId="7255A4AC" w14:textId="77777777" w:rsidR="001246B1" w:rsidRPr="001246B1" w:rsidRDefault="001246B1" w:rsidP="001246B1">
            <w:pPr>
              <w:spacing w:before="60" w:after="60" w:line="276" w:lineRule="auto"/>
              <w:ind w:left="284" w:right="284"/>
              <w:rPr>
                <w:rFonts w:ascii="Gill Sans MT" w:hAnsi="Gill Sans MT"/>
                <w:bCs/>
                <w:sz w:val="24"/>
                <w:lang w:val="en-GB"/>
              </w:rPr>
            </w:pPr>
            <w:r w:rsidRPr="001246B1">
              <w:rPr>
                <w:rFonts w:ascii="Gill Sans MT" w:hAnsi="Gill Sans MT"/>
                <w:bCs/>
                <w:sz w:val="24"/>
                <w:lang w:val="en-GB"/>
              </w:rPr>
              <w:t>Adoption date</w:t>
            </w:r>
          </w:p>
        </w:tc>
        <w:tc>
          <w:tcPr>
            <w:tcW w:w="2126" w:type="dxa"/>
            <w:tcBorders>
              <w:top w:val="dotted" w:sz="4" w:space="0" w:color="auto"/>
              <w:bottom w:val="dotted" w:sz="4" w:space="0" w:color="auto"/>
            </w:tcBorders>
          </w:tcPr>
          <w:p w14:paraId="5A9B5417" w14:textId="77777777" w:rsidR="001246B1" w:rsidRPr="001246B1" w:rsidRDefault="001246B1" w:rsidP="001246B1">
            <w:pPr>
              <w:spacing w:before="40" w:after="40" w:line="276" w:lineRule="auto"/>
              <w:ind w:right="170"/>
              <w:jc w:val="right"/>
              <w:rPr>
                <w:rFonts w:ascii="Gill Sans MT" w:hAnsi="Gill Sans MT"/>
                <w:strike/>
                <w:sz w:val="24"/>
                <w:lang w:val="en-GB"/>
              </w:rPr>
            </w:pPr>
          </w:p>
        </w:tc>
      </w:tr>
      <w:tr w:rsidR="001246B1" w:rsidRPr="001246B1" w14:paraId="4CE2018B" w14:textId="77777777" w:rsidTr="00E136E1">
        <w:trPr>
          <w:trHeight w:val="300"/>
        </w:trPr>
        <w:tc>
          <w:tcPr>
            <w:tcW w:w="392" w:type="dxa"/>
            <w:tcBorders>
              <w:top w:val="dotted" w:sz="4" w:space="0" w:color="auto"/>
              <w:bottom w:val="dotted" w:sz="4" w:space="0" w:color="auto"/>
            </w:tcBorders>
          </w:tcPr>
          <w:p w14:paraId="5CE12A8D" w14:textId="77777777" w:rsidR="001246B1" w:rsidRPr="001246B1" w:rsidRDefault="001246B1" w:rsidP="001246B1">
            <w:pPr>
              <w:spacing w:before="60" w:after="40" w:line="276" w:lineRule="auto"/>
              <w:ind w:left="0" w:right="284" w:firstLine="0"/>
              <w:rPr>
                <w:rFonts w:ascii="Gill Sans MT" w:hAnsi="Gill Sans MT"/>
                <w:bCs/>
                <w:sz w:val="24"/>
                <w:lang w:val="en-GB"/>
              </w:rPr>
            </w:pPr>
            <w:r w:rsidRPr="001246B1">
              <w:rPr>
                <w:rFonts w:ascii="Gill Sans MT" w:hAnsi="Gill Sans MT"/>
                <w:bCs/>
                <w:sz w:val="24"/>
                <w:lang w:val="en-GB"/>
              </w:rPr>
              <w:t>6</w:t>
            </w:r>
          </w:p>
        </w:tc>
        <w:tc>
          <w:tcPr>
            <w:tcW w:w="7229" w:type="dxa"/>
            <w:tcBorders>
              <w:top w:val="dotted" w:sz="4" w:space="0" w:color="auto"/>
              <w:bottom w:val="dotted" w:sz="4" w:space="0" w:color="auto"/>
            </w:tcBorders>
          </w:tcPr>
          <w:p w14:paraId="452A5916" w14:textId="77777777" w:rsidR="001246B1" w:rsidRPr="001246B1" w:rsidRDefault="001246B1" w:rsidP="001246B1">
            <w:pPr>
              <w:spacing w:before="60" w:after="40" w:line="276" w:lineRule="auto"/>
              <w:ind w:left="284" w:right="284"/>
              <w:rPr>
                <w:rFonts w:ascii="Gill Sans MT" w:hAnsi="Gill Sans MT"/>
                <w:bCs/>
                <w:sz w:val="24"/>
                <w:lang w:val="en-GB"/>
              </w:rPr>
            </w:pPr>
            <w:r w:rsidRPr="001246B1">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04A8701F" w14:textId="77777777" w:rsidR="001246B1" w:rsidRPr="001246B1" w:rsidRDefault="001246B1" w:rsidP="001246B1">
            <w:pPr>
              <w:spacing w:before="40" w:after="40" w:line="276" w:lineRule="auto"/>
              <w:ind w:right="170"/>
              <w:jc w:val="right"/>
              <w:rPr>
                <w:rFonts w:ascii="Gill Sans MT" w:hAnsi="Gill Sans MT"/>
                <w:sz w:val="24"/>
                <w:lang w:val="en-GB"/>
              </w:rPr>
            </w:pPr>
          </w:p>
        </w:tc>
      </w:tr>
      <w:tr w:rsidR="001246B1" w:rsidRPr="001246B1" w14:paraId="0830B894" w14:textId="77777777" w:rsidTr="00E136E1">
        <w:trPr>
          <w:trHeight w:val="300"/>
        </w:trPr>
        <w:tc>
          <w:tcPr>
            <w:tcW w:w="392" w:type="dxa"/>
            <w:tcBorders>
              <w:top w:val="dotted" w:sz="4" w:space="0" w:color="auto"/>
              <w:bottom w:val="dotted" w:sz="4" w:space="0" w:color="auto"/>
            </w:tcBorders>
          </w:tcPr>
          <w:p w14:paraId="156218C0" w14:textId="77777777" w:rsidR="001246B1" w:rsidRPr="001246B1" w:rsidRDefault="001246B1" w:rsidP="001246B1">
            <w:pPr>
              <w:spacing w:before="60" w:after="40" w:line="276" w:lineRule="auto"/>
              <w:ind w:left="0" w:right="284" w:firstLine="0"/>
              <w:rPr>
                <w:rFonts w:ascii="Gill Sans MT" w:hAnsi="Gill Sans MT"/>
                <w:bCs/>
                <w:sz w:val="24"/>
                <w:lang w:val="en-GB"/>
              </w:rPr>
            </w:pPr>
            <w:r w:rsidRPr="001246B1">
              <w:rPr>
                <w:rFonts w:ascii="Gill Sans MT" w:hAnsi="Gill Sans MT"/>
                <w:bCs/>
                <w:sz w:val="24"/>
                <w:lang w:val="en-GB"/>
              </w:rPr>
              <w:t>7</w:t>
            </w:r>
          </w:p>
        </w:tc>
        <w:tc>
          <w:tcPr>
            <w:tcW w:w="7229" w:type="dxa"/>
            <w:tcBorders>
              <w:top w:val="dotted" w:sz="4" w:space="0" w:color="auto"/>
              <w:bottom w:val="dotted" w:sz="4" w:space="0" w:color="auto"/>
            </w:tcBorders>
          </w:tcPr>
          <w:p w14:paraId="6F5C3CC3" w14:textId="77777777" w:rsidR="001246B1" w:rsidRPr="001246B1" w:rsidRDefault="001246B1" w:rsidP="001246B1">
            <w:pPr>
              <w:spacing w:before="60" w:after="40" w:line="276" w:lineRule="auto"/>
              <w:ind w:left="284" w:right="284"/>
              <w:rPr>
                <w:rFonts w:ascii="Gill Sans MT" w:hAnsi="Gill Sans MT"/>
                <w:bCs/>
                <w:sz w:val="24"/>
                <w:lang w:val="en-GB"/>
              </w:rPr>
            </w:pPr>
            <w:r w:rsidRPr="001246B1">
              <w:rPr>
                <w:rFonts w:ascii="Gill Sans MT" w:hAnsi="Gill Sans MT"/>
                <w:bCs/>
                <w:sz w:val="24"/>
                <w:lang w:val="en-GB"/>
              </w:rPr>
              <w:t>Implementation Period</w:t>
            </w:r>
          </w:p>
        </w:tc>
        <w:tc>
          <w:tcPr>
            <w:tcW w:w="2126" w:type="dxa"/>
            <w:tcBorders>
              <w:top w:val="dotted" w:sz="4" w:space="0" w:color="auto"/>
              <w:bottom w:val="dotted" w:sz="4" w:space="0" w:color="auto"/>
            </w:tcBorders>
          </w:tcPr>
          <w:p w14:paraId="4093FBD4" w14:textId="77777777" w:rsidR="001246B1" w:rsidRPr="001246B1" w:rsidRDefault="001246B1" w:rsidP="001246B1">
            <w:pPr>
              <w:spacing w:before="40" w:after="40" w:line="276" w:lineRule="auto"/>
              <w:ind w:right="170"/>
              <w:jc w:val="right"/>
              <w:rPr>
                <w:rFonts w:ascii="Gill Sans MT" w:hAnsi="Gill Sans MT"/>
                <w:sz w:val="24"/>
                <w:lang w:val="en-GB"/>
              </w:rPr>
            </w:pPr>
          </w:p>
        </w:tc>
      </w:tr>
      <w:tr w:rsidR="001246B1" w:rsidRPr="001246B1" w14:paraId="49708EB2" w14:textId="77777777" w:rsidTr="00E136E1">
        <w:trPr>
          <w:trHeight w:val="300"/>
        </w:trPr>
        <w:tc>
          <w:tcPr>
            <w:tcW w:w="392" w:type="dxa"/>
            <w:tcBorders>
              <w:top w:val="dotted" w:sz="4" w:space="0" w:color="auto"/>
              <w:bottom w:val="dotted" w:sz="4" w:space="0" w:color="auto"/>
            </w:tcBorders>
          </w:tcPr>
          <w:p w14:paraId="5025C0F5" w14:textId="77777777" w:rsidR="001246B1" w:rsidRPr="001246B1" w:rsidRDefault="001246B1" w:rsidP="001246B1">
            <w:pPr>
              <w:spacing w:before="60" w:after="40" w:line="276" w:lineRule="auto"/>
              <w:ind w:left="0" w:right="284" w:firstLine="0"/>
              <w:rPr>
                <w:rFonts w:ascii="Gill Sans MT" w:hAnsi="Gill Sans MT"/>
                <w:bCs/>
                <w:sz w:val="24"/>
                <w:lang w:val="en-GB"/>
              </w:rPr>
            </w:pPr>
            <w:r w:rsidRPr="001246B1">
              <w:rPr>
                <w:rFonts w:ascii="Gill Sans MT" w:hAnsi="Gill Sans MT"/>
                <w:bCs/>
                <w:sz w:val="24"/>
                <w:lang w:val="en-GB"/>
              </w:rPr>
              <w:t>8</w:t>
            </w:r>
          </w:p>
        </w:tc>
        <w:tc>
          <w:tcPr>
            <w:tcW w:w="7229" w:type="dxa"/>
            <w:tcBorders>
              <w:top w:val="dotted" w:sz="4" w:space="0" w:color="auto"/>
              <w:bottom w:val="dotted" w:sz="4" w:space="0" w:color="auto"/>
            </w:tcBorders>
          </w:tcPr>
          <w:p w14:paraId="536863E0" w14:textId="77777777" w:rsidR="001246B1" w:rsidRPr="001246B1" w:rsidRDefault="001246B1" w:rsidP="001246B1">
            <w:pPr>
              <w:spacing w:before="60" w:after="40" w:line="276" w:lineRule="auto"/>
              <w:ind w:left="284" w:right="284"/>
              <w:rPr>
                <w:rFonts w:ascii="Gill Sans MT" w:hAnsi="Gill Sans MT"/>
                <w:bCs/>
                <w:sz w:val="24"/>
                <w:lang w:val="en-GB"/>
              </w:rPr>
            </w:pPr>
            <w:r w:rsidRPr="001246B1">
              <w:rPr>
                <w:rFonts w:ascii="Gill Sans MT" w:hAnsi="Gill Sans MT"/>
                <w:bCs/>
                <w:sz w:val="24"/>
                <w:lang w:val="en-GB"/>
              </w:rPr>
              <w:t>Transition Period</w:t>
            </w:r>
          </w:p>
        </w:tc>
        <w:tc>
          <w:tcPr>
            <w:tcW w:w="2126" w:type="dxa"/>
            <w:tcBorders>
              <w:top w:val="dotted" w:sz="4" w:space="0" w:color="auto"/>
              <w:bottom w:val="dotted" w:sz="4" w:space="0" w:color="auto"/>
            </w:tcBorders>
          </w:tcPr>
          <w:p w14:paraId="66CC5F4A" w14:textId="77777777" w:rsidR="001246B1" w:rsidRPr="001246B1" w:rsidRDefault="001246B1" w:rsidP="001246B1">
            <w:pPr>
              <w:spacing w:before="40" w:after="40" w:line="276" w:lineRule="auto"/>
              <w:ind w:right="170"/>
              <w:jc w:val="right"/>
              <w:rPr>
                <w:rFonts w:ascii="Gill Sans MT" w:hAnsi="Gill Sans MT"/>
                <w:sz w:val="24"/>
                <w:lang w:val="en-GB"/>
              </w:rPr>
            </w:pPr>
          </w:p>
        </w:tc>
      </w:tr>
    </w:tbl>
    <w:p w14:paraId="7E1F2351" w14:textId="77777777" w:rsidR="001246B1" w:rsidRPr="001246B1" w:rsidRDefault="001246B1" w:rsidP="001246B1">
      <w:pPr>
        <w:spacing w:line="276" w:lineRule="auto"/>
        <w:rPr>
          <w:rFonts w:ascii="Gill Sans MT" w:hAnsi="Gill Sans MT"/>
          <w:b/>
          <w:sz w:val="24"/>
          <w:lang w:val="en-GB"/>
        </w:rPr>
      </w:pPr>
    </w:p>
    <w:p w14:paraId="0B9AE6C5" w14:textId="77777777" w:rsidR="001246B1" w:rsidRPr="001246B1" w:rsidRDefault="001246B1" w:rsidP="001246B1">
      <w:pPr>
        <w:spacing w:after="0" w:line="276" w:lineRule="auto"/>
        <w:ind w:left="10" w:hanging="10"/>
        <w:jc w:val="center"/>
        <w:rPr>
          <w:rFonts w:ascii="Gill Sans MT" w:hAnsi="Gill Sans MT"/>
          <w:color w:val="003399"/>
          <w:sz w:val="24"/>
          <w:lang w:val="en-GB"/>
        </w:rPr>
      </w:pPr>
      <w:r w:rsidRPr="001246B1">
        <w:rPr>
          <w:rFonts w:ascii="Gill Sans MT" w:hAnsi="Gill Sans MT"/>
          <w:color w:val="003399"/>
          <w:sz w:val="24"/>
          <w:lang w:val="en-GB"/>
        </w:rPr>
        <w:t>Draft for Comments</w:t>
      </w:r>
    </w:p>
    <w:p w14:paraId="5093CF49" w14:textId="77777777" w:rsidR="001246B1" w:rsidRPr="001246B1" w:rsidRDefault="001246B1" w:rsidP="001246B1">
      <w:pPr>
        <w:spacing w:after="0" w:line="276" w:lineRule="auto"/>
        <w:ind w:left="6" w:hanging="10"/>
        <w:rPr>
          <w:rFonts w:ascii="Gill Sans MT" w:hAnsi="Gill Sans MT"/>
          <w:sz w:val="24"/>
          <w:lang w:val="en-GB"/>
        </w:rPr>
      </w:pPr>
    </w:p>
    <w:p w14:paraId="5183F471" w14:textId="77777777" w:rsidR="001246B1" w:rsidRPr="001246B1" w:rsidRDefault="001246B1" w:rsidP="001246B1">
      <w:pPr>
        <w:spacing w:after="329" w:line="276" w:lineRule="auto"/>
        <w:ind w:left="12" w:firstLine="0"/>
        <w:jc w:val="both"/>
        <w:rPr>
          <w:rFonts w:ascii="Gill Sans MT" w:hAnsi="Gill Sans MT"/>
          <w:sz w:val="24"/>
          <w:lang w:val="en-GB"/>
        </w:rPr>
      </w:pPr>
      <w:r w:rsidRPr="001246B1">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4E45737C" w14:textId="77777777" w:rsidR="001246B1" w:rsidRPr="001246B1" w:rsidRDefault="001246B1" w:rsidP="001246B1">
      <w:pPr>
        <w:spacing w:after="329" w:line="276" w:lineRule="auto"/>
        <w:ind w:left="12" w:firstLine="0"/>
        <w:jc w:val="both"/>
        <w:rPr>
          <w:rFonts w:ascii="Gill Sans MT" w:hAnsi="Gill Sans MT"/>
          <w:sz w:val="24"/>
          <w:lang w:val="en-GB"/>
        </w:rPr>
      </w:pPr>
      <w:r w:rsidRPr="001246B1">
        <w:rPr>
          <w:rFonts w:ascii="Gill Sans MT" w:hAnsi="Gill Sans MT"/>
          <w:sz w:val="24"/>
          <w:lang w:val="en-GB"/>
        </w:rPr>
        <w:t xml:space="preserve"> Comments should be compiled on the accompanying table-for-comments.</w:t>
      </w:r>
      <w:r w:rsidRPr="001246B1">
        <w:rPr>
          <w:rFonts w:ascii="Gill Sans MT" w:eastAsia="Times New Roman" w:hAnsi="Gill Sans MT" w:cs="Times New Roman"/>
          <w:b/>
          <w:sz w:val="24"/>
          <w:lang w:val="en-GB"/>
        </w:rPr>
        <w:t xml:space="preserve"> </w:t>
      </w:r>
    </w:p>
    <w:p w14:paraId="596C2D1E" w14:textId="77777777" w:rsidR="001246B1" w:rsidRPr="001246B1" w:rsidRDefault="001246B1" w:rsidP="001246B1">
      <w:pPr>
        <w:spacing w:after="0" w:line="276" w:lineRule="auto"/>
        <w:ind w:left="7" w:hanging="10"/>
        <w:jc w:val="both"/>
        <w:rPr>
          <w:rFonts w:ascii="Gill Sans MT" w:hAnsi="Gill Sans MT"/>
          <w:b/>
          <w:sz w:val="24"/>
          <w:lang w:val="en-GB"/>
        </w:rPr>
      </w:pPr>
      <w:r w:rsidRPr="001246B1">
        <w:rPr>
          <w:rFonts w:ascii="Gill Sans MT" w:hAnsi="Gill Sans MT"/>
          <w:b/>
          <w:sz w:val="24"/>
          <w:lang w:val="en-GB"/>
        </w:rPr>
        <w:lastRenderedPageBreak/>
        <w:t xml:space="preserve">Document History </w:t>
      </w:r>
    </w:p>
    <w:p w14:paraId="260BC645" w14:textId="77777777" w:rsidR="001246B1" w:rsidRPr="001246B1" w:rsidRDefault="001246B1" w:rsidP="001246B1">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1246B1" w:rsidRPr="001246B1" w14:paraId="4AA9F81A" w14:textId="77777777" w:rsidTr="00E136E1">
        <w:tc>
          <w:tcPr>
            <w:tcW w:w="1169" w:type="dxa"/>
          </w:tcPr>
          <w:p w14:paraId="2CC20DE6" w14:textId="77777777" w:rsidR="001246B1" w:rsidRPr="001246B1" w:rsidRDefault="001246B1" w:rsidP="001246B1">
            <w:pPr>
              <w:spacing w:after="0" w:line="276" w:lineRule="auto"/>
              <w:ind w:left="0" w:firstLine="0"/>
              <w:jc w:val="both"/>
              <w:rPr>
                <w:rFonts w:ascii="Gill Sans MT" w:hAnsi="Gill Sans MT"/>
                <w:b/>
                <w:bCs/>
                <w:sz w:val="24"/>
                <w:lang w:val="en-GB"/>
              </w:rPr>
            </w:pPr>
            <w:r w:rsidRPr="001246B1">
              <w:rPr>
                <w:rFonts w:ascii="Gill Sans MT" w:hAnsi="Gill Sans MT"/>
                <w:b/>
                <w:bCs/>
                <w:sz w:val="24"/>
                <w:lang w:val="en-GB"/>
              </w:rPr>
              <w:t>Revision Number</w:t>
            </w:r>
          </w:p>
        </w:tc>
        <w:tc>
          <w:tcPr>
            <w:tcW w:w="1938" w:type="dxa"/>
          </w:tcPr>
          <w:p w14:paraId="2B9BF950" w14:textId="77777777" w:rsidR="001246B1" w:rsidRPr="001246B1" w:rsidRDefault="001246B1" w:rsidP="001246B1">
            <w:pPr>
              <w:spacing w:after="0" w:line="276" w:lineRule="auto"/>
              <w:ind w:left="0" w:firstLine="0"/>
              <w:jc w:val="both"/>
              <w:rPr>
                <w:rFonts w:ascii="Gill Sans MT" w:hAnsi="Gill Sans MT"/>
                <w:b/>
                <w:bCs/>
                <w:sz w:val="24"/>
                <w:lang w:val="en-GB"/>
              </w:rPr>
            </w:pPr>
            <w:r w:rsidRPr="001246B1">
              <w:rPr>
                <w:rFonts w:ascii="Gill Sans MT" w:hAnsi="Gill Sans MT"/>
                <w:b/>
                <w:bCs/>
                <w:sz w:val="24"/>
                <w:lang w:val="en-GB"/>
              </w:rPr>
              <w:t>Date implemented</w:t>
            </w:r>
          </w:p>
        </w:tc>
        <w:tc>
          <w:tcPr>
            <w:tcW w:w="5902" w:type="dxa"/>
          </w:tcPr>
          <w:p w14:paraId="19B833DA" w14:textId="77777777" w:rsidR="001246B1" w:rsidRPr="001246B1" w:rsidRDefault="001246B1" w:rsidP="001246B1">
            <w:pPr>
              <w:spacing w:line="276" w:lineRule="auto"/>
              <w:jc w:val="both"/>
              <w:rPr>
                <w:rFonts w:ascii="Gill Sans MT" w:eastAsia="Calibri" w:hAnsi="Gill Sans MT"/>
                <w:b/>
                <w:bCs/>
                <w:sz w:val="24"/>
                <w:lang w:val="en-GB"/>
              </w:rPr>
            </w:pPr>
            <w:r w:rsidRPr="001246B1">
              <w:rPr>
                <w:rFonts w:ascii="Gill Sans MT" w:eastAsia="Calibri" w:hAnsi="Gill Sans MT"/>
                <w:b/>
                <w:bCs/>
                <w:sz w:val="24"/>
                <w:lang w:val="en-GB"/>
              </w:rPr>
              <w:t>Reason for Change and Amendments</w:t>
            </w:r>
          </w:p>
        </w:tc>
      </w:tr>
      <w:tr w:rsidR="001246B1" w:rsidRPr="001246B1" w14:paraId="7A82D8C3" w14:textId="77777777" w:rsidTr="00E136E1">
        <w:tc>
          <w:tcPr>
            <w:tcW w:w="1169" w:type="dxa"/>
          </w:tcPr>
          <w:p w14:paraId="759FE957" w14:textId="77777777" w:rsidR="001246B1" w:rsidRPr="001246B1" w:rsidRDefault="001246B1" w:rsidP="001246B1">
            <w:pPr>
              <w:spacing w:after="0" w:line="276" w:lineRule="auto"/>
              <w:ind w:left="0" w:firstLine="0"/>
              <w:jc w:val="both"/>
              <w:rPr>
                <w:rFonts w:ascii="Gill Sans MT" w:hAnsi="Gill Sans MT"/>
                <w:sz w:val="24"/>
                <w:lang w:val="en-GB"/>
              </w:rPr>
            </w:pPr>
          </w:p>
        </w:tc>
        <w:tc>
          <w:tcPr>
            <w:tcW w:w="1938" w:type="dxa"/>
          </w:tcPr>
          <w:p w14:paraId="12C79E07" w14:textId="77777777" w:rsidR="001246B1" w:rsidRPr="001246B1" w:rsidRDefault="001246B1" w:rsidP="001246B1">
            <w:pPr>
              <w:spacing w:after="0" w:line="276" w:lineRule="auto"/>
              <w:ind w:left="0" w:firstLine="0"/>
              <w:jc w:val="both"/>
              <w:rPr>
                <w:rFonts w:ascii="Gill Sans MT" w:hAnsi="Gill Sans MT"/>
                <w:sz w:val="24"/>
                <w:lang w:val="en-GB"/>
              </w:rPr>
            </w:pPr>
          </w:p>
        </w:tc>
        <w:tc>
          <w:tcPr>
            <w:tcW w:w="5902" w:type="dxa"/>
          </w:tcPr>
          <w:p w14:paraId="0F0629EB" w14:textId="77777777" w:rsidR="001246B1" w:rsidRPr="001246B1" w:rsidRDefault="001246B1" w:rsidP="001246B1">
            <w:pPr>
              <w:spacing w:after="0" w:line="276" w:lineRule="auto"/>
              <w:ind w:left="0" w:firstLine="0"/>
              <w:jc w:val="both"/>
              <w:rPr>
                <w:rFonts w:ascii="Gill Sans MT" w:hAnsi="Gill Sans MT"/>
                <w:sz w:val="24"/>
                <w:lang w:val="en-GB"/>
              </w:rPr>
            </w:pPr>
          </w:p>
        </w:tc>
      </w:tr>
      <w:tr w:rsidR="001246B1" w:rsidRPr="001246B1" w14:paraId="096AD4AA" w14:textId="77777777" w:rsidTr="00E136E1">
        <w:tc>
          <w:tcPr>
            <w:tcW w:w="1169" w:type="dxa"/>
          </w:tcPr>
          <w:p w14:paraId="08C29A1E" w14:textId="77777777" w:rsidR="001246B1" w:rsidRPr="001246B1" w:rsidRDefault="001246B1" w:rsidP="001246B1">
            <w:pPr>
              <w:spacing w:after="0" w:line="276" w:lineRule="auto"/>
              <w:ind w:left="0" w:firstLine="0"/>
              <w:jc w:val="both"/>
              <w:rPr>
                <w:rFonts w:ascii="Gill Sans MT" w:hAnsi="Gill Sans MT"/>
                <w:sz w:val="24"/>
                <w:lang w:val="en-GB"/>
              </w:rPr>
            </w:pPr>
          </w:p>
        </w:tc>
        <w:tc>
          <w:tcPr>
            <w:tcW w:w="1938" w:type="dxa"/>
          </w:tcPr>
          <w:p w14:paraId="2C9F2C51" w14:textId="77777777" w:rsidR="001246B1" w:rsidRPr="001246B1" w:rsidRDefault="001246B1" w:rsidP="001246B1">
            <w:pPr>
              <w:spacing w:after="0" w:line="276" w:lineRule="auto"/>
              <w:ind w:left="0" w:firstLine="0"/>
              <w:jc w:val="both"/>
              <w:rPr>
                <w:rFonts w:ascii="Gill Sans MT" w:hAnsi="Gill Sans MT"/>
                <w:sz w:val="24"/>
                <w:lang w:val="en-GB"/>
              </w:rPr>
            </w:pPr>
          </w:p>
        </w:tc>
        <w:tc>
          <w:tcPr>
            <w:tcW w:w="5902" w:type="dxa"/>
          </w:tcPr>
          <w:p w14:paraId="7173FAD6" w14:textId="77777777" w:rsidR="001246B1" w:rsidRPr="001246B1" w:rsidRDefault="001246B1" w:rsidP="001246B1">
            <w:pPr>
              <w:spacing w:after="0" w:line="276" w:lineRule="auto"/>
              <w:ind w:left="0" w:firstLine="0"/>
              <w:jc w:val="both"/>
              <w:rPr>
                <w:rFonts w:ascii="Gill Sans MT" w:hAnsi="Gill Sans MT"/>
                <w:sz w:val="24"/>
                <w:lang w:val="en-GB"/>
              </w:rPr>
            </w:pPr>
          </w:p>
        </w:tc>
      </w:tr>
    </w:tbl>
    <w:p w14:paraId="626D270B" w14:textId="77777777" w:rsidR="001246B1" w:rsidRPr="001246B1" w:rsidRDefault="001246B1" w:rsidP="001246B1">
      <w:pPr>
        <w:spacing w:after="0" w:line="276" w:lineRule="auto"/>
        <w:ind w:left="7" w:hanging="10"/>
        <w:jc w:val="both"/>
        <w:rPr>
          <w:rFonts w:ascii="Gill Sans MT" w:hAnsi="Gill Sans MT"/>
          <w:sz w:val="24"/>
          <w:lang w:val="en-GB"/>
        </w:rPr>
      </w:pPr>
    </w:p>
    <w:p w14:paraId="107FAE0F" w14:textId="77777777" w:rsidR="001246B1" w:rsidRPr="001246B1" w:rsidRDefault="001246B1" w:rsidP="001246B1">
      <w:pPr>
        <w:spacing w:after="0" w:line="276" w:lineRule="auto"/>
        <w:ind w:left="7" w:hanging="10"/>
        <w:jc w:val="both"/>
        <w:rPr>
          <w:rFonts w:ascii="Gill Sans MT" w:hAnsi="Gill Sans MT"/>
          <w:sz w:val="24"/>
          <w:lang w:val="en-GB"/>
        </w:rPr>
      </w:pPr>
    </w:p>
    <w:p w14:paraId="0D453FDB" w14:textId="77777777" w:rsidR="001246B1" w:rsidRPr="001246B1" w:rsidRDefault="001246B1" w:rsidP="001246B1">
      <w:pPr>
        <w:spacing w:after="0" w:line="276" w:lineRule="auto"/>
        <w:ind w:left="7" w:hanging="10"/>
        <w:jc w:val="both"/>
        <w:rPr>
          <w:rFonts w:ascii="Gill Sans MT" w:hAnsi="Gill Sans MT"/>
          <w:sz w:val="24"/>
          <w:lang w:val="en-GB"/>
        </w:rPr>
      </w:pPr>
    </w:p>
    <w:p w14:paraId="34AF7632" w14:textId="77777777" w:rsidR="001246B1" w:rsidRPr="001246B1" w:rsidRDefault="001246B1" w:rsidP="001246B1">
      <w:pPr>
        <w:spacing w:after="0" w:line="276" w:lineRule="auto"/>
        <w:ind w:left="12" w:firstLine="0"/>
        <w:jc w:val="both"/>
        <w:rPr>
          <w:rFonts w:ascii="Gill Sans MT" w:hAnsi="Gill Sans MT"/>
          <w:sz w:val="24"/>
          <w:lang w:val="en-GB"/>
        </w:rPr>
      </w:pPr>
      <w:r w:rsidRPr="001246B1">
        <w:rPr>
          <w:rFonts w:ascii="Gill Sans MT" w:eastAsia="Arial" w:hAnsi="Gill Sans MT" w:cs="Arial"/>
          <w:sz w:val="24"/>
          <w:lang w:val="en-GB"/>
        </w:rPr>
        <w:t xml:space="preserve"> </w:t>
      </w:r>
      <w:r w:rsidRPr="001246B1">
        <w:rPr>
          <w:rFonts w:ascii="Gill Sans MT" w:eastAsia="Arial" w:hAnsi="Gill Sans MT" w:cs="Arial"/>
          <w:sz w:val="24"/>
          <w:lang w:val="en-GB"/>
        </w:rPr>
        <w:tab/>
      </w:r>
      <w:r w:rsidRPr="001246B1">
        <w:rPr>
          <w:rFonts w:ascii="Gill Sans MT" w:hAnsi="Gill Sans MT"/>
          <w:sz w:val="24"/>
          <w:lang w:val="en-GB"/>
        </w:rPr>
        <w:t xml:space="preserve"> </w:t>
      </w:r>
    </w:p>
    <w:p w14:paraId="3CF69E93" w14:textId="3FA43436" w:rsidR="008B12DF" w:rsidRPr="001246B1" w:rsidRDefault="001246B1" w:rsidP="001246B1">
      <w:pPr>
        <w:spacing w:after="0" w:line="276" w:lineRule="auto"/>
        <w:ind w:left="7" w:hanging="10"/>
        <w:rPr>
          <w:rFonts w:ascii="Gill Sans MT" w:hAnsi="Gill Sans MT" w:cs="Times New Roman"/>
          <w:sz w:val="24"/>
        </w:rPr>
      </w:pPr>
      <w:r w:rsidRPr="001246B1">
        <w:rPr>
          <w:rFonts w:ascii="Gill Sans MT" w:eastAsia="Times New Roman" w:hAnsi="Gill Sans MT" w:cs="Times New Roman"/>
          <w:b/>
          <w:color w:val="auto"/>
          <w:sz w:val="24"/>
          <w:lang w:val="en-GB"/>
        </w:rPr>
        <w:br w:type="page"/>
      </w:r>
    </w:p>
    <w:p w14:paraId="4ECBADAF" w14:textId="15B5623F" w:rsidR="000D3DB7" w:rsidRPr="00640A8D" w:rsidRDefault="000D3DB7" w:rsidP="00640A8D">
      <w:pPr>
        <w:spacing w:after="160" w:line="276" w:lineRule="auto"/>
        <w:ind w:left="0" w:firstLine="0"/>
        <w:jc w:val="both"/>
        <w:rPr>
          <w:rFonts w:ascii="Gill Sans MT" w:eastAsia="Times New Roman" w:hAnsi="Gill Sans MT" w:cs="Times New Roman"/>
          <w:b/>
          <w:color w:val="auto"/>
          <w:sz w:val="24"/>
        </w:rPr>
      </w:pPr>
      <w:r w:rsidRPr="00640A8D">
        <w:rPr>
          <w:rFonts w:ascii="Gill Sans MT" w:eastAsia="Times New Roman" w:hAnsi="Gill Sans MT" w:cs="Times New Roman"/>
          <w:b/>
          <w:color w:val="auto"/>
          <w:sz w:val="24"/>
        </w:rPr>
        <w:lastRenderedPageBreak/>
        <w:t xml:space="preserve">PREAMBLE </w:t>
      </w:r>
    </w:p>
    <w:p w14:paraId="76D2F746" w14:textId="371BCAFB" w:rsidR="000D3DB7" w:rsidRPr="00640A8D" w:rsidRDefault="000D3DB7" w:rsidP="00640A8D">
      <w:pPr>
        <w:spacing w:after="160" w:line="276" w:lineRule="auto"/>
        <w:ind w:left="0" w:firstLine="0"/>
        <w:jc w:val="both"/>
        <w:rPr>
          <w:rFonts w:ascii="Gill Sans MT" w:eastAsia="Times New Roman" w:hAnsi="Gill Sans MT" w:cs="Times New Roman"/>
          <w:b/>
          <w:color w:val="auto"/>
          <w:sz w:val="24"/>
        </w:rPr>
      </w:pPr>
      <w:r w:rsidRPr="00640A8D">
        <w:rPr>
          <w:rFonts w:ascii="Gill Sans MT" w:eastAsia="Times New Roman" w:hAnsi="Gill Sans MT" w:cs="Times New Roman"/>
          <w:b/>
          <w:color w:val="auto"/>
          <w:sz w:val="24"/>
        </w:rPr>
        <w:t>Purpose</w:t>
      </w:r>
    </w:p>
    <w:p w14:paraId="16653D6E" w14:textId="41D79B34" w:rsidR="000D3DB7" w:rsidRPr="00640A8D" w:rsidRDefault="336A5F9D" w:rsidP="00640A8D">
      <w:pPr>
        <w:spacing w:before="120" w:after="80" w:line="276" w:lineRule="auto"/>
        <w:ind w:left="0" w:right="284"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The purpose of this document is to formalize SADC’s adoption and implementation of submission requirements for Applications for Registration in Common Technical Document Format: Quality (WHO TRS 986 Annex 6 and ICH M4Q).  It informs applicants and assessors of the standards to be applied during product registration.</w:t>
      </w:r>
    </w:p>
    <w:p w14:paraId="00F7636A" w14:textId="0BDD5F82" w:rsidR="31674EF0" w:rsidRPr="00640A8D" w:rsidRDefault="31674EF0" w:rsidP="00640A8D">
      <w:pPr>
        <w:spacing w:before="120" w:after="80" w:line="276" w:lineRule="auto"/>
        <w:ind w:left="0" w:right="284" w:firstLine="0"/>
        <w:jc w:val="both"/>
        <w:rPr>
          <w:rFonts w:ascii="Gill Sans MT" w:eastAsia="Times New Roman" w:hAnsi="Gill Sans MT" w:cs="Times New Roman"/>
          <w:color w:val="auto"/>
          <w:sz w:val="24"/>
        </w:rPr>
      </w:pPr>
    </w:p>
    <w:p w14:paraId="366A29F6" w14:textId="3F825F13" w:rsidR="3DFB0CCC" w:rsidRPr="00640A8D" w:rsidRDefault="08BF6D82" w:rsidP="00640A8D">
      <w:pPr>
        <w:spacing w:after="160" w:line="276" w:lineRule="auto"/>
        <w:ind w:left="0" w:firstLine="0"/>
        <w:jc w:val="both"/>
        <w:rPr>
          <w:rFonts w:ascii="Gill Sans MT" w:eastAsia="Times New Roman" w:hAnsi="Gill Sans MT" w:cs="Times New Roman"/>
          <w:b/>
          <w:color w:val="auto"/>
          <w:sz w:val="24"/>
        </w:rPr>
      </w:pPr>
      <w:r w:rsidRPr="00640A8D">
        <w:rPr>
          <w:rFonts w:ascii="Gill Sans MT" w:eastAsia="Times New Roman" w:hAnsi="Gill Sans MT" w:cs="Times New Roman"/>
          <w:b/>
          <w:color w:val="auto"/>
          <w:sz w:val="24"/>
        </w:rPr>
        <w:t xml:space="preserve">Adoption Statement </w:t>
      </w:r>
    </w:p>
    <w:p w14:paraId="58273DB7" w14:textId="456960B4" w:rsidR="3DFB0CCC" w:rsidRPr="00640A8D" w:rsidRDefault="336A5F9D" w:rsidP="00640A8D">
      <w:pPr>
        <w:spacing w:after="160" w:line="276" w:lineRule="auto"/>
        <w:ind w:left="0" w:firstLine="0"/>
        <w:jc w:val="both"/>
        <w:rPr>
          <w:rFonts w:ascii="Gill Sans MT" w:eastAsia="Times New Roman" w:hAnsi="Gill Sans MT" w:cs="Times New Roman"/>
          <w:color w:val="auto"/>
          <w:sz w:val="24"/>
          <w:highlight w:val="yellow"/>
        </w:rPr>
      </w:pPr>
      <w:r w:rsidRPr="00640A8D">
        <w:rPr>
          <w:rFonts w:ascii="Gill Sans MT" w:eastAsia="Times New Roman" w:hAnsi="Gill Sans MT" w:cs="Times New Roman"/>
          <w:color w:val="auto"/>
          <w:sz w:val="24"/>
        </w:rPr>
        <w:t xml:space="preserve">SADC formally adopts </w:t>
      </w:r>
      <w:r w:rsidRPr="00640A8D">
        <w:rPr>
          <w:rFonts w:ascii="Gill Sans MT" w:eastAsia="Times New Roman" w:hAnsi="Gill Sans MT" w:cs="Times New Roman"/>
          <w:i/>
          <w:iCs/>
          <w:color w:val="auto"/>
          <w:sz w:val="24"/>
        </w:rPr>
        <w:t>Guidelines on submission of documentation for a multisource (generic) finished pharmaceutical product: quality part: Annex 6, WHO Technical Report Series, 986, 2014</w:t>
      </w:r>
      <w:r w:rsidRPr="00640A8D">
        <w:rPr>
          <w:rFonts w:ascii="Gill Sans MT" w:eastAsia="Times New Roman" w:hAnsi="Gill Sans MT" w:cs="Times New Roman"/>
          <w:color w:val="auto"/>
          <w:sz w:val="24"/>
        </w:rPr>
        <w:t xml:space="preserve"> and </w:t>
      </w:r>
      <w:r w:rsidRPr="00640A8D">
        <w:rPr>
          <w:rFonts w:ascii="Gill Sans MT" w:eastAsia="Times New Roman" w:hAnsi="Gill Sans MT" w:cs="Times New Roman"/>
          <w:i/>
          <w:iCs/>
          <w:color w:val="auto"/>
          <w:sz w:val="24"/>
        </w:rPr>
        <w:t>the</w:t>
      </w:r>
      <w:r w:rsidRPr="00640A8D">
        <w:rPr>
          <w:rFonts w:ascii="Gill Sans MT" w:eastAsia="Times New Roman" w:hAnsi="Gill Sans MT" w:cs="Times New Roman"/>
          <w:color w:val="auto"/>
          <w:sz w:val="24"/>
        </w:rPr>
        <w:t xml:space="preserve"> </w:t>
      </w:r>
      <w:r w:rsidRPr="00640A8D">
        <w:rPr>
          <w:rFonts w:ascii="Gill Sans MT" w:eastAsia="Times New Roman" w:hAnsi="Gill Sans MT" w:cs="Times New Roman"/>
          <w:i/>
          <w:iCs/>
          <w:color w:val="auto"/>
          <w:sz w:val="24"/>
        </w:rPr>
        <w:t xml:space="preserve">Common Technical Document for the Registration of Pharmaceuticals for Human Use:    Quality, Quality Overall Summary of Module 2, Module 3: Quality ICH </w:t>
      </w:r>
      <w:proofErr w:type="spellStart"/>
      <w:r w:rsidRPr="00640A8D">
        <w:rPr>
          <w:rFonts w:ascii="Gill Sans MT" w:eastAsia="Times New Roman" w:hAnsi="Gill Sans MT" w:cs="Times New Roman"/>
          <w:i/>
          <w:iCs/>
          <w:color w:val="auto"/>
          <w:sz w:val="24"/>
        </w:rPr>
        <w:t>Harmonised</w:t>
      </w:r>
      <w:proofErr w:type="spellEnd"/>
      <w:r w:rsidRPr="00640A8D">
        <w:rPr>
          <w:rFonts w:ascii="Gill Sans MT" w:eastAsia="Times New Roman" w:hAnsi="Gill Sans MT" w:cs="Times New Roman"/>
          <w:i/>
          <w:iCs/>
          <w:color w:val="auto"/>
          <w:sz w:val="24"/>
        </w:rPr>
        <w:t xml:space="preserve"> Tripartite Guideline (ICH M4Q)</w:t>
      </w:r>
      <w:r w:rsidRPr="00640A8D">
        <w:rPr>
          <w:rFonts w:ascii="Gill Sans MT" w:eastAsia="Times New Roman" w:hAnsi="Gill Sans MT" w:cs="Times New Roman"/>
          <w:color w:val="auto"/>
          <w:sz w:val="24"/>
        </w:rPr>
        <w:t xml:space="preserve">. The adoption is effective </w:t>
      </w:r>
      <w:r w:rsidRPr="00640A8D">
        <w:rPr>
          <w:rFonts w:ascii="Gill Sans MT" w:eastAsia="Times New Roman" w:hAnsi="Gill Sans MT" w:cs="Times New Roman"/>
          <w:color w:val="auto"/>
          <w:sz w:val="24"/>
          <w:highlight w:val="yellow"/>
        </w:rPr>
        <w:t xml:space="preserve">[dd Month </w:t>
      </w:r>
      <w:proofErr w:type="spellStart"/>
      <w:r w:rsidRPr="00640A8D">
        <w:rPr>
          <w:rFonts w:ascii="Gill Sans MT" w:eastAsia="Times New Roman" w:hAnsi="Gill Sans MT" w:cs="Times New Roman"/>
          <w:color w:val="auto"/>
          <w:sz w:val="24"/>
          <w:highlight w:val="yellow"/>
        </w:rPr>
        <w:t>yyyy</w:t>
      </w:r>
      <w:proofErr w:type="spellEnd"/>
      <w:r w:rsidRPr="00640A8D">
        <w:rPr>
          <w:rFonts w:ascii="Gill Sans MT" w:eastAsia="Times New Roman" w:hAnsi="Gill Sans MT" w:cs="Times New Roman"/>
          <w:color w:val="auto"/>
          <w:sz w:val="24"/>
          <w:highlight w:val="yellow"/>
        </w:rPr>
        <w:t>].</w:t>
      </w:r>
      <w:r w:rsidRPr="00640A8D">
        <w:rPr>
          <w:rFonts w:ascii="Gill Sans MT" w:eastAsia="Times New Roman" w:hAnsi="Gill Sans MT" w:cs="Times New Roman"/>
          <w:color w:val="auto"/>
          <w:sz w:val="24"/>
        </w:rPr>
        <w:t xml:space="preserve"> These requirements apply to SADC Medicines Regulatory Harmonization (Zazibona joint assessments). The provisions are also applicable to SADC NRAs, subject to each NRA’s discretion in adopting or adapting the Guideline.</w:t>
      </w:r>
    </w:p>
    <w:p w14:paraId="2C304B75" w14:textId="581EDFDC" w:rsidR="3DFB0CCC" w:rsidRPr="00640A8D" w:rsidRDefault="08BF6D82"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The source guideline</w:t>
      </w:r>
      <w:r w:rsidR="004B05C3" w:rsidRPr="00640A8D">
        <w:rPr>
          <w:rFonts w:ascii="Gill Sans MT" w:eastAsia="Times New Roman" w:hAnsi="Gill Sans MT" w:cs="Times New Roman"/>
          <w:color w:val="auto"/>
          <w:sz w:val="24"/>
        </w:rPr>
        <w:t>s</w:t>
      </w:r>
      <w:r w:rsidRPr="00640A8D">
        <w:rPr>
          <w:rFonts w:ascii="Gill Sans MT" w:eastAsia="Times New Roman" w:hAnsi="Gill Sans MT" w:cs="Times New Roman"/>
          <w:color w:val="auto"/>
          <w:sz w:val="24"/>
        </w:rPr>
        <w:t xml:space="preserve"> </w:t>
      </w:r>
      <w:r w:rsidR="004B05C3" w:rsidRPr="00640A8D">
        <w:rPr>
          <w:rFonts w:ascii="Gill Sans MT" w:eastAsia="Times New Roman" w:hAnsi="Gill Sans MT" w:cs="Times New Roman"/>
          <w:color w:val="auto"/>
          <w:sz w:val="24"/>
        </w:rPr>
        <w:t>are</w:t>
      </w:r>
      <w:r w:rsidRPr="00640A8D">
        <w:rPr>
          <w:rFonts w:ascii="Gill Sans MT" w:eastAsia="Times New Roman" w:hAnsi="Gill Sans MT" w:cs="Times New Roman"/>
          <w:color w:val="auto"/>
          <w:sz w:val="24"/>
        </w:rPr>
        <w:t xml:space="preserve"> accessible at:</w:t>
      </w:r>
    </w:p>
    <w:p w14:paraId="7BDEEE77" w14:textId="7F41544D" w:rsidR="00EE15D7" w:rsidRPr="00640A8D" w:rsidRDefault="003C40E5" w:rsidP="00640A8D">
      <w:pPr>
        <w:pStyle w:val="ListParagraph"/>
        <w:numPr>
          <w:ilvl w:val="0"/>
          <w:numId w:val="7"/>
        </w:numPr>
        <w:spacing w:after="160" w:line="276" w:lineRule="auto"/>
        <w:jc w:val="both"/>
        <w:rPr>
          <w:rFonts w:ascii="Gill Sans MT" w:eastAsia="Times New Roman" w:hAnsi="Gill Sans MT" w:cs="Times New Roman"/>
          <w:color w:val="auto"/>
          <w:sz w:val="24"/>
        </w:rPr>
      </w:pPr>
      <w:hyperlink r:id="rId12" w:history="1">
        <w:r w:rsidRPr="00640A8D">
          <w:rPr>
            <w:rStyle w:val="Hyperlink"/>
            <w:rFonts w:ascii="Gill Sans MT" w:eastAsia="Times New Roman" w:hAnsi="Gill Sans MT" w:cs="Times New Roman"/>
            <w:sz w:val="24"/>
            <w:highlight w:val="yellow"/>
          </w:rPr>
          <w:t>https://cdn.who.int/media/docs/default-source/medicines/norms-and standards/guidelines/regulatory-standards/trs986 annex6.pdf?sfvrsn=ec67d04f_2&amp;download=true</w:t>
        </w:r>
      </w:hyperlink>
      <w:r w:rsidR="336A5F9D" w:rsidRPr="00640A8D">
        <w:rPr>
          <w:rFonts w:ascii="Gill Sans MT" w:eastAsia="Times New Roman" w:hAnsi="Gill Sans MT" w:cs="Times New Roman"/>
          <w:color w:val="auto"/>
          <w:sz w:val="24"/>
        </w:rPr>
        <w:t xml:space="preserve"> </w:t>
      </w:r>
    </w:p>
    <w:p w14:paraId="384C91E6" w14:textId="69BD1326" w:rsidR="00EE15D7" w:rsidRPr="00640A8D" w:rsidRDefault="336A5F9D" w:rsidP="00640A8D">
      <w:pPr>
        <w:pStyle w:val="ListParagraph"/>
        <w:numPr>
          <w:ilvl w:val="0"/>
          <w:numId w:val="7"/>
        </w:numPr>
        <w:spacing w:after="160" w:line="276" w:lineRule="auto"/>
        <w:jc w:val="both"/>
        <w:rPr>
          <w:rFonts w:ascii="Gill Sans MT" w:eastAsia="Times New Roman" w:hAnsi="Gill Sans MT" w:cs="Times New Roman"/>
          <w:color w:val="auto"/>
          <w:sz w:val="24"/>
        </w:rPr>
      </w:pPr>
      <w:hyperlink r:id="rId13">
        <w:r w:rsidRPr="00640A8D">
          <w:rPr>
            <w:rStyle w:val="Hyperlink"/>
            <w:rFonts w:ascii="Gill Sans MT" w:eastAsia="Times New Roman" w:hAnsi="Gill Sans MT" w:cs="Times New Roman"/>
            <w:sz w:val="24"/>
          </w:rPr>
          <w:t>https://database.ich.org/sites/default/files/M4Q_R1_Guideline.pdf</w:t>
        </w:r>
      </w:hyperlink>
      <w:r w:rsidRPr="00640A8D">
        <w:rPr>
          <w:rFonts w:ascii="Gill Sans MT" w:eastAsia="Times New Roman" w:hAnsi="Gill Sans MT" w:cs="Times New Roman"/>
          <w:color w:val="auto"/>
          <w:sz w:val="24"/>
        </w:rPr>
        <w:t xml:space="preserve"> </w:t>
      </w:r>
    </w:p>
    <w:p w14:paraId="265EBEF5" w14:textId="30BB1F47" w:rsidR="336A5F9D" w:rsidRPr="00640A8D" w:rsidRDefault="336A5F9D" w:rsidP="00640A8D">
      <w:pPr>
        <w:spacing w:after="160" w:line="276" w:lineRule="auto"/>
        <w:ind w:left="0" w:firstLine="0"/>
        <w:jc w:val="both"/>
        <w:rPr>
          <w:rFonts w:ascii="Gill Sans MT" w:eastAsia="Times New Roman" w:hAnsi="Gill Sans MT" w:cs="Times New Roman"/>
          <w:color w:val="auto"/>
          <w:sz w:val="24"/>
        </w:rPr>
      </w:pPr>
    </w:p>
    <w:p w14:paraId="3EEA09AA" w14:textId="29FFD51D" w:rsidR="15A9DCF2" w:rsidRPr="00640A8D" w:rsidRDefault="15A9DCF2" w:rsidP="00640A8D">
      <w:pPr>
        <w:spacing w:after="160" w:line="276" w:lineRule="auto"/>
        <w:ind w:left="0" w:firstLine="0"/>
        <w:jc w:val="both"/>
        <w:rPr>
          <w:rFonts w:ascii="Gill Sans MT" w:eastAsia="Times New Roman" w:hAnsi="Gill Sans MT" w:cs="Times New Roman"/>
          <w:b/>
          <w:color w:val="auto"/>
          <w:sz w:val="24"/>
        </w:rPr>
      </w:pPr>
      <w:r w:rsidRPr="00640A8D">
        <w:rPr>
          <w:rFonts w:ascii="Gill Sans MT" w:eastAsia="Times New Roman" w:hAnsi="Gill Sans MT" w:cs="Times New Roman"/>
          <w:b/>
          <w:color w:val="auto"/>
          <w:sz w:val="24"/>
        </w:rPr>
        <w:t>Rationale</w:t>
      </w:r>
      <w:r w:rsidR="2910FE01" w:rsidRPr="00640A8D">
        <w:rPr>
          <w:rFonts w:ascii="Gill Sans MT" w:eastAsia="Times New Roman" w:hAnsi="Gill Sans MT" w:cs="Times New Roman"/>
          <w:b/>
          <w:color w:val="auto"/>
          <w:sz w:val="24"/>
        </w:rPr>
        <w:t xml:space="preserve"> for Adoption</w:t>
      </w:r>
    </w:p>
    <w:p w14:paraId="7E49A548" w14:textId="7763C151" w:rsidR="1B73D24F" w:rsidRPr="00640A8D" w:rsidRDefault="336A5F9D" w:rsidP="00640A8D">
      <w:pPr>
        <w:spacing w:after="160" w:line="276" w:lineRule="auto"/>
        <w:ind w:left="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To ensure that the SADC standards are aligned with international standards or state of the art scientific practices. Adopting international standards such as WHO and ICH reduces duplication of studies, promotes information exchange among the regulators, including reliance, more efficient assessment, aligns the region with global standards, and ultimately increases the availability of medicines to the public. ICH M4Q applies broadly to new chemical entities, biotechnology</w:t>
      </w:r>
      <w:r w:rsidRPr="00640A8D">
        <w:rPr>
          <w:rFonts w:ascii="Cambria Math" w:eastAsia="Times New Roman" w:hAnsi="Cambria Math" w:cs="Cambria Math"/>
          <w:color w:val="auto"/>
          <w:sz w:val="24"/>
        </w:rPr>
        <w:t>‑</w:t>
      </w:r>
      <w:r w:rsidRPr="00640A8D">
        <w:rPr>
          <w:rFonts w:ascii="Gill Sans MT" w:eastAsia="Times New Roman" w:hAnsi="Gill Sans MT" w:cs="Times New Roman"/>
          <w:color w:val="auto"/>
          <w:sz w:val="24"/>
        </w:rPr>
        <w:t xml:space="preserve">derived products, and generics, thereby covering the full spectrum of medicinal products relevant to SADC, while WHO TRS 981 Annex 6 provides specific guidance and further clarification for multisource (generic) pharmaceutical products. The intended benefits of adopting the WHO TRS 986 Annex 6 and ICH M4Q are in line with the SADC and AU agenda on regional integration and cooperation. </w:t>
      </w:r>
    </w:p>
    <w:p w14:paraId="4C4AD2D6" w14:textId="461C6B54" w:rsidR="336A5F9D" w:rsidRPr="00640A8D" w:rsidRDefault="336A5F9D" w:rsidP="00640A8D">
      <w:pPr>
        <w:spacing w:after="160" w:line="276" w:lineRule="auto"/>
        <w:ind w:left="0"/>
        <w:jc w:val="both"/>
        <w:rPr>
          <w:rFonts w:ascii="Gill Sans MT" w:eastAsia="Times New Roman" w:hAnsi="Gill Sans MT" w:cs="Times New Roman"/>
          <w:color w:val="auto"/>
          <w:sz w:val="24"/>
        </w:rPr>
      </w:pPr>
    </w:p>
    <w:p w14:paraId="65868017" w14:textId="62C5BA8F" w:rsidR="000D3DB7" w:rsidRPr="00640A8D" w:rsidRDefault="65994E2E" w:rsidP="00640A8D">
      <w:pPr>
        <w:spacing w:after="160" w:line="276" w:lineRule="auto"/>
        <w:ind w:left="0" w:firstLine="0"/>
        <w:jc w:val="both"/>
        <w:rPr>
          <w:rFonts w:ascii="Gill Sans MT" w:eastAsia="Times New Roman" w:hAnsi="Gill Sans MT" w:cs="Times New Roman"/>
          <w:b/>
          <w:color w:val="auto"/>
          <w:sz w:val="24"/>
        </w:rPr>
      </w:pPr>
      <w:r w:rsidRPr="00640A8D">
        <w:rPr>
          <w:rFonts w:ascii="Gill Sans MT" w:eastAsia="Times New Roman" w:hAnsi="Gill Sans MT" w:cs="Times New Roman"/>
          <w:b/>
          <w:color w:val="auto"/>
          <w:sz w:val="24"/>
        </w:rPr>
        <w:t>Scope</w:t>
      </w:r>
    </w:p>
    <w:p w14:paraId="6A138CD1" w14:textId="5E5CAFDA" w:rsidR="000575AC" w:rsidRPr="00640A8D" w:rsidRDefault="000575AC" w:rsidP="00640A8D">
      <w:pPr>
        <w:spacing w:before="120" w:after="80" w:line="276" w:lineRule="auto"/>
        <w:ind w:left="0" w:right="284"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 xml:space="preserve">This guideline outlines the requirements for the preparation and submission of dossiers in the Common Technical Document (CTD) format, specifically addressing the structure and presentation of the quality section of a product dossier. It provides detailed specifications on </w:t>
      </w:r>
      <w:r w:rsidRPr="00640A8D">
        <w:rPr>
          <w:rFonts w:ascii="Gill Sans MT" w:eastAsia="Times New Roman" w:hAnsi="Gill Sans MT" w:cs="Times New Roman"/>
          <w:color w:val="auto"/>
          <w:sz w:val="24"/>
        </w:rPr>
        <w:lastRenderedPageBreak/>
        <w:t>the format and content of applications for the registration of drug substances and their corresponding drug products of synthetic, semi-synthetic, or biotechnological origin. The document reflects the current position of the SADC regarding quality-related expectations for product dossiers.</w:t>
      </w:r>
    </w:p>
    <w:p w14:paraId="029DB430" w14:textId="77777777" w:rsidR="00B023C6" w:rsidRPr="00640A8D" w:rsidRDefault="00B023C6" w:rsidP="00640A8D">
      <w:pPr>
        <w:spacing w:before="120" w:after="80" w:line="276" w:lineRule="auto"/>
        <w:ind w:left="0" w:right="284" w:firstLine="0"/>
        <w:jc w:val="both"/>
        <w:rPr>
          <w:rFonts w:ascii="Gill Sans MT" w:eastAsia="Times New Roman" w:hAnsi="Gill Sans MT" w:cs="Times New Roman"/>
          <w:color w:val="auto"/>
          <w:sz w:val="24"/>
        </w:rPr>
      </w:pPr>
    </w:p>
    <w:p w14:paraId="2B797CDC" w14:textId="18BC6915" w:rsidR="000D3DB7" w:rsidRPr="00640A8D" w:rsidRDefault="000D3DB7"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b/>
          <w:color w:val="auto"/>
          <w:sz w:val="24"/>
        </w:rPr>
        <w:t>Validity</w:t>
      </w:r>
    </w:p>
    <w:p w14:paraId="54B73C1F" w14:textId="21B3EE5C" w:rsidR="00523FC4"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This document is valid from the effective date of adoption. It will be reviewed when required, but not later than 5 years from the effective date. In case of revision or updates to the source guideline(s), the latest version(s) automatically applies, unless a specific transition period is specified by SADC.</w:t>
      </w:r>
    </w:p>
    <w:p w14:paraId="1DB2C918" w14:textId="7BE3868F" w:rsidR="336A5F9D" w:rsidRPr="00640A8D" w:rsidRDefault="336A5F9D" w:rsidP="00640A8D">
      <w:pPr>
        <w:spacing w:before="240" w:after="240" w:line="276" w:lineRule="auto"/>
        <w:jc w:val="both"/>
        <w:rPr>
          <w:rFonts w:ascii="Gill Sans MT" w:eastAsia="Times New Roman" w:hAnsi="Gill Sans MT" w:cs="Times New Roman"/>
          <w:b/>
          <w:bCs/>
          <w:color w:val="auto"/>
          <w:sz w:val="24"/>
        </w:rPr>
      </w:pPr>
    </w:p>
    <w:p w14:paraId="236F93C8" w14:textId="2F4A2222" w:rsidR="1C716182" w:rsidRPr="00640A8D" w:rsidRDefault="336A5F9D" w:rsidP="00640A8D">
      <w:pPr>
        <w:spacing w:before="240" w:after="240" w:line="276" w:lineRule="auto"/>
        <w:jc w:val="both"/>
        <w:rPr>
          <w:rFonts w:ascii="Gill Sans MT" w:eastAsia="Times New Roman" w:hAnsi="Gill Sans MT" w:cs="Times New Roman"/>
          <w:b/>
          <w:color w:val="auto"/>
          <w:sz w:val="24"/>
        </w:rPr>
      </w:pPr>
      <w:r w:rsidRPr="00640A8D">
        <w:rPr>
          <w:rFonts w:ascii="Gill Sans MT" w:eastAsia="Times New Roman" w:hAnsi="Gill Sans MT" w:cs="Times New Roman"/>
          <w:b/>
          <w:bCs/>
          <w:color w:val="auto"/>
          <w:sz w:val="24"/>
        </w:rPr>
        <w:t>ANNOTATIONS/NOTES</w:t>
      </w:r>
    </w:p>
    <w:p w14:paraId="2B0EC049" w14:textId="4EC0218C" w:rsidR="00B023BC"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sz w:val="24"/>
        </w:rPr>
        <w:t>The following guidelines provide detailed supplementary information on regulatory requirements specific to the SADC region</w:t>
      </w:r>
      <w:r w:rsidRPr="00640A8D">
        <w:rPr>
          <w:rFonts w:ascii="Gill Sans MT" w:eastAsia="Times New Roman" w:hAnsi="Gill Sans MT" w:cs="Times New Roman"/>
          <w:color w:val="auto"/>
          <w:sz w:val="24"/>
        </w:rPr>
        <w:t xml:space="preserve">. </w:t>
      </w:r>
    </w:p>
    <w:p w14:paraId="5FEFA9B0" w14:textId="77777777" w:rsidR="003C40E5" w:rsidRPr="00640A8D" w:rsidRDefault="003C40E5" w:rsidP="00640A8D">
      <w:pPr>
        <w:spacing w:after="160" w:line="276" w:lineRule="auto"/>
        <w:ind w:left="0" w:firstLine="0"/>
        <w:jc w:val="both"/>
        <w:rPr>
          <w:rFonts w:ascii="Gill Sans MT" w:eastAsia="Times New Roman" w:hAnsi="Gill Sans MT" w:cs="Times New Roman"/>
          <w:color w:val="auto"/>
          <w:sz w:val="24"/>
        </w:rPr>
      </w:pPr>
    </w:p>
    <w:p w14:paraId="448E7C62" w14:textId="45035EBE" w:rsidR="00B92077"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b/>
          <w:bCs/>
          <w:color w:val="auto"/>
          <w:sz w:val="24"/>
          <w:lang w:val="en"/>
        </w:rPr>
        <w:t>3.2.S DRUG SUBSTANCE/ ACTIVE PHARMACEUTICAL INGREDIENT (NAME, MANUFACTURER)</w:t>
      </w:r>
      <w:r w:rsidRPr="00640A8D">
        <w:rPr>
          <w:rFonts w:ascii="Gill Sans MT" w:eastAsia="Times New Roman" w:hAnsi="Gill Sans MT" w:cs="Times New Roman"/>
          <w:b/>
          <w:bCs/>
          <w:color w:val="auto"/>
          <w:sz w:val="24"/>
        </w:rPr>
        <w:t> </w:t>
      </w:r>
    </w:p>
    <w:p w14:paraId="3D015C28" w14:textId="77777777" w:rsidR="00FC2849" w:rsidRPr="00640A8D" w:rsidRDefault="336A5F9D" w:rsidP="00640A8D">
      <w:pPr>
        <w:spacing w:after="160" w:line="276" w:lineRule="auto"/>
        <w:ind w:left="0" w:firstLine="0"/>
        <w:jc w:val="both"/>
        <w:rPr>
          <w:rFonts w:ascii="Gill Sans MT" w:eastAsia="Times New Roman" w:hAnsi="Gill Sans MT" w:cs="Times New Roman"/>
          <w:b/>
          <w:bCs/>
          <w:color w:val="auto"/>
          <w:sz w:val="24"/>
        </w:rPr>
      </w:pPr>
      <w:r w:rsidRPr="00640A8D">
        <w:rPr>
          <w:rFonts w:ascii="Gill Sans MT" w:eastAsia="Times New Roman" w:hAnsi="Gill Sans MT" w:cs="Times New Roman"/>
          <w:b/>
          <w:bCs/>
          <w:color w:val="auto"/>
          <w:sz w:val="24"/>
        </w:rPr>
        <w:t>Active Pharmaceutical Ingredient (API) Information Submission Options</w:t>
      </w:r>
    </w:p>
    <w:p w14:paraId="4BB6A3D4" w14:textId="2FABA06B" w:rsidR="336A5F9D" w:rsidRPr="00640A8D" w:rsidRDefault="336A5F9D" w:rsidP="00640A8D">
      <w:pPr>
        <w:spacing w:after="160" w:line="276" w:lineRule="auto"/>
        <w:ind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 xml:space="preserve">In alignment with international practices and considering the framework outlined in WHO Technical Report Series (TRS) No. 986, Annex 6, SADC requires that full (complete) information </w:t>
      </w:r>
      <w:r w:rsidRPr="00640A8D">
        <w:rPr>
          <w:rFonts w:ascii="Gill Sans MT" w:eastAsia="Times New Roman" w:hAnsi="Gill Sans MT" w:cs="Times New Roman"/>
          <w:b/>
          <w:bCs/>
          <w:color w:val="auto"/>
          <w:sz w:val="24"/>
        </w:rPr>
        <w:t>(open part and restricted part)</w:t>
      </w:r>
      <w:r w:rsidRPr="00640A8D">
        <w:rPr>
          <w:rFonts w:ascii="Gill Sans MT" w:eastAsia="Times New Roman" w:hAnsi="Gill Sans MT" w:cs="Times New Roman"/>
          <w:color w:val="auto"/>
          <w:sz w:val="24"/>
        </w:rPr>
        <w:t xml:space="preserve"> on all active pharmaceutical ingredients (APIs) be available to support product dossiers. For reliance purpose, the applicants may select from the following recognized review pathways for API information, if applicable:</w:t>
      </w:r>
    </w:p>
    <w:p w14:paraId="041566D4" w14:textId="627DAE78" w:rsidR="336A5F9D" w:rsidRPr="00640A8D" w:rsidRDefault="336A5F9D" w:rsidP="00640A8D">
      <w:pPr>
        <w:pStyle w:val="ListParagraph"/>
        <w:numPr>
          <w:ilvl w:val="0"/>
          <w:numId w:val="1"/>
        </w:numPr>
        <w:spacing w:after="160" w:line="276" w:lineRule="auto"/>
        <w:jc w:val="both"/>
        <w:rPr>
          <w:rFonts w:ascii="Gill Sans MT" w:eastAsia="Times New Roman" w:hAnsi="Gill Sans MT" w:cs="Times New Roman"/>
          <w:b/>
          <w:bCs/>
          <w:color w:val="auto"/>
          <w:sz w:val="24"/>
        </w:rPr>
      </w:pPr>
      <w:r w:rsidRPr="00640A8D">
        <w:rPr>
          <w:rFonts w:ascii="Gill Sans MT" w:eastAsia="Times New Roman" w:hAnsi="Gill Sans MT" w:cs="Times New Roman"/>
          <w:b/>
          <w:bCs/>
          <w:color w:val="auto"/>
          <w:sz w:val="24"/>
        </w:rPr>
        <w:t xml:space="preserve">Submission of a Confirmation of API Prequalification document (CPQ); or </w:t>
      </w:r>
    </w:p>
    <w:p w14:paraId="60E3C232" w14:textId="29473BF9" w:rsidR="336A5F9D" w:rsidRPr="00640A8D" w:rsidRDefault="336A5F9D" w:rsidP="00640A8D">
      <w:pPr>
        <w:pStyle w:val="ListParagraph"/>
        <w:numPr>
          <w:ilvl w:val="0"/>
          <w:numId w:val="1"/>
        </w:numPr>
        <w:spacing w:after="160" w:line="276" w:lineRule="auto"/>
        <w:jc w:val="both"/>
        <w:rPr>
          <w:rFonts w:ascii="Gill Sans MT" w:eastAsia="Times New Roman" w:hAnsi="Gill Sans MT" w:cs="Times New Roman"/>
          <w:b/>
          <w:bCs/>
          <w:color w:val="auto"/>
          <w:sz w:val="24"/>
        </w:rPr>
      </w:pPr>
      <w:r w:rsidRPr="00640A8D">
        <w:rPr>
          <w:rFonts w:ascii="Gill Sans MT" w:eastAsia="Times New Roman" w:hAnsi="Gill Sans MT" w:cs="Times New Roman"/>
          <w:b/>
          <w:bCs/>
          <w:color w:val="auto"/>
          <w:sz w:val="24"/>
        </w:rPr>
        <w:t>Submission of a Certificate of Suitability (CEP).</w:t>
      </w:r>
    </w:p>
    <w:p w14:paraId="148485E0" w14:textId="50048291" w:rsidR="336A5F9D" w:rsidRPr="00640A8D" w:rsidRDefault="336A5F9D" w:rsidP="00640A8D">
      <w:pPr>
        <w:spacing w:after="160" w:line="276" w:lineRule="auto"/>
        <w:ind w:left="0" w:firstLine="0"/>
        <w:jc w:val="both"/>
        <w:rPr>
          <w:rFonts w:ascii="Gill Sans MT" w:eastAsia="Times New Roman" w:hAnsi="Gill Sans MT" w:cs="Times New Roman"/>
          <w:color w:val="auto"/>
          <w:sz w:val="24"/>
          <w:highlight w:val="yellow"/>
        </w:rPr>
      </w:pPr>
    </w:p>
    <w:p w14:paraId="27CCC641" w14:textId="2E44027B" w:rsidR="336A5F9D" w:rsidRPr="00640A8D" w:rsidRDefault="336A5F9D" w:rsidP="00640A8D">
      <w:pPr>
        <w:pStyle w:val="paragraph"/>
        <w:spacing w:after="160" w:line="276" w:lineRule="auto"/>
        <w:jc w:val="both"/>
        <w:rPr>
          <w:rFonts w:ascii="Gill Sans MT" w:hAnsi="Gill Sans MT"/>
          <w:b/>
          <w:bCs/>
          <w:i/>
          <w:iCs/>
        </w:rPr>
      </w:pPr>
      <w:r w:rsidRPr="00640A8D">
        <w:rPr>
          <w:rStyle w:val="normaltextrun"/>
          <w:rFonts w:ascii="Gill Sans MT" w:eastAsia="Verdana" w:hAnsi="Gill Sans MT"/>
          <w:b/>
          <w:bCs/>
          <w:i/>
          <w:iCs/>
          <w:lang w:val="en"/>
        </w:rPr>
        <w:t xml:space="preserve">Option 3: </w:t>
      </w:r>
      <w:r w:rsidRPr="00640A8D">
        <w:rPr>
          <w:rFonts w:ascii="Gill Sans MT" w:hAnsi="Gill Sans MT"/>
          <w:b/>
          <w:bCs/>
          <w:i/>
          <w:iCs/>
          <w:lang w:val="en"/>
        </w:rPr>
        <w:t>Confirmation of API Prequalification document (CPQ).</w:t>
      </w:r>
      <w:r w:rsidRPr="00640A8D">
        <w:rPr>
          <w:rFonts w:ascii="Gill Sans MT" w:hAnsi="Gill Sans MT"/>
          <w:b/>
          <w:bCs/>
          <w:i/>
          <w:iCs/>
        </w:rPr>
        <w:t> </w:t>
      </w:r>
    </w:p>
    <w:p w14:paraId="5B28625A" w14:textId="62CF4F1D" w:rsidR="336A5F9D"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The following information is added for the applicant to include in the dossier, with data summarized in the QOS:</w:t>
      </w:r>
    </w:p>
    <w:p w14:paraId="57641E60" w14:textId="6F1688C9" w:rsidR="336A5F9D" w:rsidRPr="00640A8D" w:rsidRDefault="336A5F9D" w:rsidP="00640A8D">
      <w:pPr>
        <w:pStyle w:val="ListParagraph"/>
        <w:numPr>
          <w:ilvl w:val="0"/>
          <w:numId w:val="13"/>
        </w:numPr>
        <w:spacing w:after="160" w:line="276" w:lineRule="auto"/>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 xml:space="preserve">3.2.S.2.1 Manufacturer(s)- </w:t>
      </w:r>
      <w:r w:rsidRPr="00640A8D">
        <w:rPr>
          <w:rFonts w:ascii="Gill Sans MT" w:eastAsia="Times New Roman" w:hAnsi="Gill Sans MT" w:cs="Times New Roman"/>
          <w:color w:val="212121"/>
          <w:sz w:val="24"/>
        </w:rPr>
        <w:t>All sites involved in the manufacture of the substance covered by the CPQ after the introduction of the starting material(s), including quality control and in process testing sites, should be listed in this section.</w:t>
      </w:r>
      <w:r w:rsidRPr="00640A8D">
        <w:rPr>
          <w:rFonts w:ascii="Gill Sans MT" w:eastAsia="Times New Roman" w:hAnsi="Gill Sans MT" w:cs="Times New Roman"/>
          <w:color w:val="auto"/>
          <w:sz w:val="24"/>
        </w:rPr>
        <w:t xml:space="preserve"> </w:t>
      </w:r>
    </w:p>
    <w:p w14:paraId="49B514B6" w14:textId="214FF73E" w:rsidR="336A5F9D" w:rsidRPr="00640A8D" w:rsidRDefault="336A5F9D" w:rsidP="00640A8D">
      <w:pPr>
        <w:pStyle w:val="ListParagraph"/>
        <w:numPr>
          <w:ilvl w:val="0"/>
          <w:numId w:val="13"/>
        </w:numPr>
        <w:spacing w:after="160" w:line="276" w:lineRule="auto"/>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3.2.S.5 Reference standards or materials – The information on reference standards should include API reference standards and impurity standards.</w:t>
      </w:r>
    </w:p>
    <w:p w14:paraId="666B9D19" w14:textId="0A9CD04D" w:rsidR="00B92077" w:rsidRPr="00640A8D" w:rsidRDefault="00B92077" w:rsidP="00640A8D">
      <w:pPr>
        <w:pStyle w:val="paragraph"/>
        <w:spacing w:before="0" w:beforeAutospacing="0" w:after="0" w:afterAutospacing="0" w:line="276" w:lineRule="auto"/>
        <w:ind w:left="720"/>
        <w:jc w:val="both"/>
        <w:textAlignment w:val="baseline"/>
        <w:rPr>
          <w:rFonts w:ascii="Gill Sans MT" w:hAnsi="Gill Sans MT"/>
        </w:rPr>
      </w:pPr>
    </w:p>
    <w:p w14:paraId="713A64C5" w14:textId="221DFE0C" w:rsidR="336A5F9D" w:rsidRPr="00640A8D" w:rsidRDefault="336A5F9D" w:rsidP="00640A8D">
      <w:pPr>
        <w:pStyle w:val="paragraph"/>
        <w:spacing w:after="160" w:line="276" w:lineRule="auto"/>
        <w:jc w:val="both"/>
        <w:rPr>
          <w:rFonts w:ascii="Gill Sans MT" w:hAnsi="Gill Sans MT"/>
          <w:b/>
          <w:bCs/>
          <w:i/>
          <w:iCs/>
        </w:rPr>
      </w:pPr>
      <w:r w:rsidRPr="00640A8D">
        <w:rPr>
          <w:rStyle w:val="normaltextrun"/>
          <w:rFonts w:ascii="Gill Sans MT" w:eastAsia="Verdana" w:hAnsi="Gill Sans MT"/>
          <w:b/>
          <w:bCs/>
          <w:i/>
          <w:iCs/>
          <w:lang w:val="en"/>
        </w:rPr>
        <w:t xml:space="preserve">Option 4: </w:t>
      </w:r>
      <w:r w:rsidRPr="00640A8D">
        <w:rPr>
          <w:rFonts w:ascii="Gill Sans MT" w:hAnsi="Gill Sans MT"/>
          <w:b/>
          <w:bCs/>
          <w:i/>
          <w:iCs/>
          <w:lang w:val="en"/>
        </w:rPr>
        <w:t>Certificate of Suitability of the European Pharmacopoeia (CEP)</w:t>
      </w:r>
      <w:r w:rsidRPr="00640A8D">
        <w:rPr>
          <w:rFonts w:ascii="Gill Sans MT" w:hAnsi="Gill Sans MT"/>
          <w:b/>
          <w:bCs/>
          <w:i/>
          <w:iCs/>
        </w:rPr>
        <w:t> </w:t>
      </w:r>
    </w:p>
    <w:p w14:paraId="682CECC6" w14:textId="16C7F4D5" w:rsidR="336A5F9D"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The following information is added for the applicant to include in the dossier, with data summarized in the QOS:</w:t>
      </w:r>
    </w:p>
    <w:p w14:paraId="6941678E" w14:textId="4D20D8FF" w:rsidR="336A5F9D" w:rsidRPr="00640A8D" w:rsidRDefault="336A5F9D" w:rsidP="00640A8D">
      <w:pPr>
        <w:pStyle w:val="ListParagraph"/>
        <w:numPr>
          <w:ilvl w:val="0"/>
          <w:numId w:val="14"/>
        </w:numPr>
        <w:spacing w:after="160" w:line="276" w:lineRule="auto"/>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 xml:space="preserve">3.2.S.2.1 Manufacturer(s)- </w:t>
      </w:r>
      <w:r w:rsidRPr="00640A8D">
        <w:rPr>
          <w:rFonts w:ascii="Gill Sans MT" w:eastAsia="Times New Roman" w:hAnsi="Gill Sans MT" w:cs="Times New Roman"/>
          <w:color w:val="212121"/>
          <w:sz w:val="24"/>
        </w:rPr>
        <w:t xml:space="preserve">All sites involved in the manufacture of the substance covered by the CEP after the introduction of the starting material(s), including quality control and in process testing sites, should be listed in this section. </w:t>
      </w:r>
    </w:p>
    <w:p w14:paraId="1EB5275B" w14:textId="552B81C9" w:rsidR="336A5F9D" w:rsidRPr="00640A8D" w:rsidRDefault="336A5F9D" w:rsidP="00640A8D">
      <w:pPr>
        <w:pStyle w:val="ListParagraph"/>
        <w:numPr>
          <w:ilvl w:val="0"/>
          <w:numId w:val="14"/>
        </w:numPr>
        <w:spacing w:after="160" w:line="276" w:lineRule="auto"/>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3.2.S.5 Reference standards or materials –The information on reference standards should include API reference standards and impurity standards.</w:t>
      </w:r>
    </w:p>
    <w:p w14:paraId="774988FD" w14:textId="24246C85" w:rsidR="336A5F9D" w:rsidRPr="00640A8D" w:rsidRDefault="336A5F9D" w:rsidP="00640A8D">
      <w:pPr>
        <w:pStyle w:val="ListParagraph"/>
        <w:spacing w:after="160" w:line="276" w:lineRule="auto"/>
        <w:jc w:val="both"/>
        <w:rPr>
          <w:rFonts w:ascii="Gill Sans MT" w:eastAsia="Times New Roman" w:hAnsi="Gill Sans MT" w:cs="Times New Roman"/>
          <w:color w:val="auto"/>
          <w:sz w:val="24"/>
        </w:rPr>
      </w:pPr>
    </w:p>
    <w:p w14:paraId="081E09E3" w14:textId="3969802D" w:rsidR="004F5422" w:rsidRPr="00640A8D" w:rsidRDefault="336A5F9D" w:rsidP="00640A8D">
      <w:pPr>
        <w:spacing w:after="160" w:line="276" w:lineRule="auto"/>
        <w:ind w:left="0" w:firstLine="0"/>
        <w:jc w:val="both"/>
        <w:rPr>
          <w:rFonts w:ascii="Gill Sans MT" w:eastAsia="Times New Roman" w:hAnsi="Gill Sans MT" w:cs="Times New Roman"/>
          <w:b/>
          <w:bCs/>
          <w:i/>
          <w:iCs/>
          <w:color w:val="auto"/>
          <w:sz w:val="24"/>
        </w:rPr>
      </w:pPr>
      <w:r w:rsidRPr="00640A8D">
        <w:rPr>
          <w:rFonts w:ascii="Gill Sans MT" w:eastAsia="Times New Roman" w:hAnsi="Gill Sans MT" w:cs="Times New Roman"/>
          <w:b/>
          <w:bCs/>
          <w:i/>
          <w:iCs/>
          <w:color w:val="auto"/>
          <w:sz w:val="24"/>
          <w:lang w:val="en"/>
        </w:rPr>
        <w:t>3.2.S.1.3 General Properties (name, manufacturer)</w:t>
      </w:r>
      <w:r w:rsidRPr="00640A8D">
        <w:rPr>
          <w:rFonts w:ascii="Gill Sans MT" w:eastAsia="Times New Roman" w:hAnsi="Gill Sans MT" w:cs="Times New Roman"/>
          <w:b/>
          <w:bCs/>
          <w:i/>
          <w:iCs/>
          <w:color w:val="auto"/>
          <w:sz w:val="24"/>
        </w:rPr>
        <w:t> </w:t>
      </w:r>
    </w:p>
    <w:p w14:paraId="6D66A3FD" w14:textId="67FDCA21" w:rsidR="336A5F9D" w:rsidRPr="00640A8D" w:rsidRDefault="336A5F9D" w:rsidP="00640A8D">
      <w:pPr>
        <w:spacing w:after="160" w:line="276" w:lineRule="auto"/>
        <w:ind w:left="0"/>
        <w:jc w:val="both"/>
        <w:rPr>
          <w:rFonts w:ascii="Gill Sans MT" w:hAnsi="Gill Sans MT" w:cs="Times New Roman"/>
          <w:sz w:val="24"/>
        </w:rPr>
      </w:pPr>
      <w:r w:rsidRPr="00640A8D">
        <w:rPr>
          <w:rFonts w:ascii="Gill Sans MT" w:eastAsia="Times New Roman" w:hAnsi="Gill Sans MT" w:cs="Times New Roman"/>
          <w:color w:val="auto"/>
          <w:sz w:val="24"/>
        </w:rPr>
        <w:t xml:space="preserve">The interpretation in the calculation of the dose solubility volume of “largest dosage strength” means the largest single therapeutic dose in line with the determination of high or low solubility according to BCS classification. </w:t>
      </w:r>
    </w:p>
    <w:p w14:paraId="72A0B82E" w14:textId="4BE93B26" w:rsidR="336A5F9D" w:rsidRPr="00640A8D" w:rsidRDefault="336A5F9D" w:rsidP="00640A8D">
      <w:pPr>
        <w:spacing w:after="160" w:line="276" w:lineRule="auto"/>
        <w:ind w:left="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 xml:space="preserve">Reference: WHO TRS 1019, Annex 4. </w:t>
      </w:r>
    </w:p>
    <w:p w14:paraId="2F45D414" w14:textId="77777777" w:rsidR="000903C2" w:rsidRPr="00640A8D" w:rsidRDefault="000903C2" w:rsidP="00640A8D">
      <w:pPr>
        <w:spacing w:after="160" w:line="276" w:lineRule="auto"/>
        <w:ind w:left="720" w:firstLine="0"/>
        <w:jc w:val="both"/>
        <w:rPr>
          <w:rFonts w:ascii="Gill Sans MT" w:eastAsia="Times New Roman" w:hAnsi="Gill Sans MT" w:cs="Times New Roman"/>
          <w:color w:val="auto"/>
          <w:sz w:val="24"/>
        </w:rPr>
      </w:pPr>
    </w:p>
    <w:p w14:paraId="10353337" w14:textId="1E423B0C" w:rsidR="007B66DD" w:rsidRPr="00640A8D" w:rsidRDefault="00571A82" w:rsidP="00640A8D">
      <w:pPr>
        <w:spacing w:after="160" w:line="276" w:lineRule="auto"/>
        <w:ind w:left="0" w:firstLine="0"/>
        <w:jc w:val="both"/>
        <w:rPr>
          <w:rFonts w:ascii="Gill Sans MT" w:eastAsia="Times New Roman" w:hAnsi="Gill Sans MT" w:cs="Times New Roman"/>
          <w:b/>
          <w:bCs/>
          <w:i/>
          <w:iCs/>
          <w:color w:val="auto"/>
          <w:sz w:val="24"/>
        </w:rPr>
      </w:pPr>
      <w:r w:rsidRPr="00640A8D">
        <w:rPr>
          <w:rFonts w:ascii="Gill Sans MT" w:eastAsia="Times New Roman" w:hAnsi="Gill Sans MT" w:cs="Times New Roman"/>
          <w:b/>
          <w:bCs/>
          <w:i/>
          <w:iCs/>
          <w:color w:val="auto"/>
          <w:sz w:val="24"/>
        </w:rPr>
        <w:t xml:space="preserve"> 3.2.S.2.2</w:t>
      </w:r>
      <w:r w:rsidRPr="00640A8D">
        <w:rPr>
          <w:rFonts w:ascii="Gill Sans MT" w:eastAsia="Times New Roman" w:hAnsi="Gill Sans MT" w:cs="Times New Roman"/>
          <w:color w:val="auto"/>
          <w:sz w:val="24"/>
        </w:rPr>
        <w:t xml:space="preserve"> </w:t>
      </w:r>
      <w:r w:rsidRPr="00640A8D">
        <w:rPr>
          <w:rFonts w:ascii="Gill Sans MT" w:eastAsia="Times New Roman" w:hAnsi="Gill Sans MT" w:cs="Times New Roman"/>
          <w:b/>
          <w:bCs/>
          <w:i/>
          <w:iCs/>
          <w:color w:val="auto"/>
          <w:sz w:val="24"/>
          <w:lang w:val="en"/>
        </w:rPr>
        <w:t>Description of Manufacturing Process and Process Controls (name, manufacturer)</w:t>
      </w:r>
      <w:r w:rsidRPr="00640A8D">
        <w:rPr>
          <w:rFonts w:ascii="Gill Sans MT" w:eastAsia="Times New Roman" w:hAnsi="Gill Sans MT" w:cs="Times New Roman"/>
          <w:b/>
          <w:bCs/>
          <w:i/>
          <w:iCs/>
          <w:color w:val="auto"/>
          <w:sz w:val="24"/>
        </w:rPr>
        <w:t> </w:t>
      </w:r>
    </w:p>
    <w:p w14:paraId="02CE7363" w14:textId="2CAEEB5C" w:rsidR="00853D18" w:rsidRPr="00640A8D" w:rsidRDefault="336A5F9D" w:rsidP="00640A8D">
      <w:pPr>
        <w:spacing w:after="160" w:line="276" w:lineRule="auto"/>
        <w:ind w:left="0" w:firstLine="0"/>
        <w:jc w:val="both"/>
        <w:rPr>
          <w:rFonts w:ascii="Gill Sans MT" w:eastAsia="Times New Roman" w:hAnsi="Gill Sans MT" w:cs="Times New Roman"/>
          <w:b/>
          <w:bCs/>
          <w:i/>
          <w:iCs/>
          <w:color w:val="auto"/>
          <w:sz w:val="24"/>
        </w:rPr>
      </w:pPr>
      <w:r w:rsidRPr="00640A8D">
        <w:rPr>
          <w:rFonts w:ascii="Gill Sans MT" w:eastAsia="Times New Roman" w:hAnsi="Gill Sans MT" w:cs="Times New Roman"/>
          <w:b/>
          <w:bCs/>
          <w:i/>
          <w:iCs/>
          <w:color w:val="auto"/>
          <w:sz w:val="24"/>
        </w:rPr>
        <w:t>Recovery solvents:</w:t>
      </w:r>
    </w:p>
    <w:p w14:paraId="774783EF" w14:textId="37506548" w:rsidR="00571A82"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At the time of submission, if applicable where there is use of recovered of solvents, the applicant should justify the proposed ratio of recovered to fresh solvents on the basis of quality data for three API batches or downstream intermediates, manufactured with all recovered solvents at the proposed maximum ratio of recovered solvents to fresh solvents. In Section 3.2.S. the specifications for the recovered solvents should include control of residue on evaporation/non-volatile matter and the corresponding certificates of analysis of recovered solvents used to manufacture the profiled API batches and/or the downstream intermediate batches should be provided demonstrating compliance to and suitability of the proposed specifications.</w:t>
      </w:r>
    </w:p>
    <w:p w14:paraId="61518E1E" w14:textId="4FB726F9" w:rsidR="00330CEB"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 xml:space="preserve">Unless the specifications of the recovered solvent used in the manufacturing process final step or purification are more stringent than the specification of the fresh solvent, the use of recovered solvents in the final step or purification is not recommended. </w:t>
      </w:r>
    </w:p>
    <w:p w14:paraId="5CD47E12" w14:textId="37792A6B" w:rsidR="00853D18" w:rsidRPr="00640A8D" w:rsidRDefault="00853D18" w:rsidP="00640A8D">
      <w:pPr>
        <w:spacing w:after="160" w:line="276" w:lineRule="auto"/>
        <w:ind w:left="0" w:firstLine="0"/>
        <w:jc w:val="both"/>
        <w:rPr>
          <w:rFonts w:ascii="Gill Sans MT" w:eastAsia="Times New Roman" w:hAnsi="Gill Sans MT" w:cs="Times New Roman"/>
          <w:b/>
          <w:bCs/>
          <w:i/>
          <w:iCs/>
          <w:color w:val="auto"/>
          <w:sz w:val="24"/>
        </w:rPr>
      </w:pPr>
      <w:r w:rsidRPr="00640A8D">
        <w:rPr>
          <w:rFonts w:ascii="Gill Sans MT" w:eastAsia="Times New Roman" w:hAnsi="Gill Sans MT" w:cs="Times New Roman"/>
          <w:b/>
          <w:bCs/>
          <w:i/>
          <w:iCs/>
          <w:color w:val="auto"/>
          <w:sz w:val="24"/>
        </w:rPr>
        <w:t>Particle size reduction:</w:t>
      </w:r>
    </w:p>
    <w:p w14:paraId="5EA05089" w14:textId="3E42A6C7" w:rsidR="00853D18"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 xml:space="preserve">If the process is atypical (other than jet milling), the type of equipment used, and process parameters should be described. </w:t>
      </w:r>
    </w:p>
    <w:p w14:paraId="2ADED3E2" w14:textId="77777777" w:rsidR="0008728A" w:rsidRPr="00640A8D" w:rsidRDefault="0008728A" w:rsidP="00640A8D">
      <w:pPr>
        <w:spacing w:after="160" w:line="276" w:lineRule="auto"/>
        <w:ind w:left="0" w:firstLine="0"/>
        <w:jc w:val="both"/>
        <w:rPr>
          <w:rFonts w:ascii="Gill Sans MT" w:eastAsia="Times New Roman" w:hAnsi="Gill Sans MT" w:cs="Times New Roman"/>
          <w:color w:val="auto"/>
          <w:sz w:val="24"/>
        </w:rPr>
      </w:pPr>
    </w:p>
    <w:p w14:paraId="4A08F678" w14:textId="01A2DA15" w:rsidR="00ED43BB" w:rsidRPr="00640A8D" w:rsidRDefault="00ED43BB" w:rsidP="00640A8D">
      <w:pPr>
        <w:spacing w:after="160" w:line="276" w:lineRule="auto"/>
        <w:ind w:left="0" w:firstLine="0"/>
        <w:jc w:val="both"/>
        <w:rPr>
          <w:rFonts w:ascii="Gill Sans MT" w:eastAsia="Times New Roman" w:hAnsi="Gill Sans MT" w:cs="Times New Roman"/>
          <w:b/>
          <w:bCs/>
          <w:i/>
          <w:iCs/>
          <w:color w:val="auto"/>
          <w:sz w:val="24"/>
          <w:lang w:val="en"/>
        </w:rPr>
      </w:pPr>
      <w:r w:rsidRPr="00640A8D">
        <w:rPr>
          <w:rFonts w:ascii="Gill Sans MT" w:eastAsia="Times New Roman" w:hAnsi="Gill Sans MT" w:cs="Times New Roman"/>
          <w:b/>
          <w:bCs/>
          <w:i/>
          <w:iCs/>
          <w:color w:val="auto"/>
          <w:sz w:val="24"/>
          <w:lang w:val="en"/>
        </w:rPr>
        <w:t>3.2.S.3.2 Impurities (name, manufacturer)</w:t>
      </w:r>
    </w:p>
    <w:p w14:paraId="62CC4A2C" w14:textId="26478DE9" w:rsidR="00ED43BB" w:rsidRPr="00640A8D" w:rsidRDefault="336A5F9D" w:rsidP="00640A8D">
      <w:pPr>
        <w:spacing w:after="160" w:line="276" w:lineRule="auto"/>
        <w:ind w:left="0" w:firstLine="0"/>
        <w:jc w:val="both"/>
        <w:rPr>
          <w:rFonts w:ascii="Gill Sans MT" w:eastAsia="Times New Roman" w:hAnsi="Gill Sans MT" w:cs="Times New Roman"/>
          <w:sz w:val="24"/>
        </w:rPr>
      </w:pPr>
      <w:r w:rsidRPr="00640A8D">
        <w:rPr>
          <w:rFonts w:ascii="Gill Sans MT" w:eastAsia="Times New Roman" w:hAnsi="Gill Sans MT" w:cs="Times New Roman"/>
          <w:color w:val="auto"/>
          <w:sz w:val="24"/>
        </w:rPr>
        <w:lastRenderedPageBreak/>
        <w:t xml:space="preserve">Details on the principles for the control of impurities (e.g. reporting, identification and qualification) for antibiotics are outlined in the </w:t>
      </w:r>
      <w:r w:rsidRPr="00640A8D">
        <w:rPr>
          <w:rFonts w:ascii="Gill Sans MT" w:eastAsia="Times New Roman" w:hAnsi="Gill Sans MT" w:cs="Times New Roman"/>
          <w:color w:val="333333"/>
          <w:sz w:val="24"/>
        </w:rPr>
        <w:t xml:space="preserve">EMA Guideline on setting specifications for related impurities in antibiotics. </w:t>
      </w:r>
    </w:p>
    <w:p w14:paraId="399886AD" w14:textId="5911CF1B" w:rsidR="00B7483E"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For establishing limits for highly toxic impurities (genotoxic</w:t>
      </w:r>
      <w:r w:rsidRPr="00640A8D">
        <w:rPr>
          <w:rFonts w:ascii="Gill Sans MT" w:eastAsia="Times New Roman" w:hAnsi="Gill Sans MT" w:cs="Times New Roman"/>
          <w:color w:val="auto"/>
          <w:sz w:val="24"/>
          <w:u w:val="single"/>
        </w:rPr>
        <w:t xml:space="preserve"> and carcinogens</w:t>
      </w:r>
      <w:r w:rsidRPr="00640A8D">
        <w:rPr>
          <w:rFonts w:ascii="Gill Sans MT" w:eastAsia="Times New Roman" w:hAnsi="Gill Sans MT" w:cs="Times New Roman"/>
          <w:color w:val="auto"/>
          <w:sz w:val="24"/>
        </w:rPr>
        <w:t xml:space="preserve">) used in the process or formed as a by-product , the applicant should use available guidance's such as the ICH M7, EMA Nitrosamine impurities in human medicines and WHO TRS 1060, Annex 2: WHO good practice considerations for the prevention and control of nitrosamines in pharmaceutical products  Other equivalent guidelines may also be considered. </w:t>
      </w:r>
    </w:p>
    <w:p w14:paraId="19AC0114" w14:textId="01F6F568" w:rsidR="336A5F9D" w:rsidRPr="00640A8D" w:rsidRDefault="336A5F9D" w:rsidP="00640A8D">
      <w:pPr>
        <w:spacing w:after="160" w:line="276" w:lineRule="auto"/>
        <w:ind w:left="0" w:firstLine="0"/>
        <w:jc w:val="both"/>
        <w:rPr>
          <w:rFonts w:ascii="Gill Sans MT" w:eastAsia="Times New Roman" w:hAnsi="Gill Sans MT" w:cs="Times New Roman"/>
          <w:sz w:val="24"/>
        </w:rPr>
      </w:pPr>
      <w:r w:rsidRPr="00640A8D">
        <w:rPr>
          <w:rFonts w:ascii="Gill Sans MT" w:eastAsia="Times New Roman" w:hAnsi="Gill Sans MT" w:cs="Times New Roman"/>
          <w:sz w:val="24"/>
        </w:rPr>
        <w:t>With regards to control of potential contamination of the API with benzene or other class I solvents, applicants are expected to include testing as a routine parameter in API specifications. Where omission or skip testing is proposed, a clear scientific justification must be provided upfront, and specific criteria should be selected in line with the requirements of the relevant guidelines and risk</w:t>
      </w:r>
      <w:r w:rsidRPr="00640A8D">
        <w:rPr>
          <w:rFonts w:ascii="Cambria Math" w:eastAsia="Times New Roman" w:hAnsi="Cambria Math" w:cs="Cambria Math"/>
          <w:sz w:val="24"/>
        </w:rPr>
        <w:t>‑</w:t>
      </w:r>
      <w:r w:rsidRPr="00640A8D">
        <w:rPr>
          <w:rFonts w:ascii="Gill Sans MT" w:eastAsia="Times New Roman" w:hAnsi="Gill Sans MT" w:cs="Times New Roman"/>
          <w:sz w:val="24"/>
        </w:rPr>
        <w:t xml:space="preserve">management principles. </w:t>
      </w:r>
    </w:p>
    <w:p w14:paraId="7A2FCB25" w14:textId="5433480D" w:rsidR="336A5F9D" w:rsidRPr="00640A8D" w:rsidRDefault="336A5F9D" w:rsidP="00640A8D">
      <w:pPr>
        <w:spacing w:after="160" w:line="276" w:lineRule="auto"/>
        <w:ind w:left="0" w:firstLine="0"/>
        <w:jc w:val="both"/>
        <w:rPr>
          <w:rFonts w:ascii="Gill Sans MT" w:eastAsia="Times New Roman" w:hAnsi="Gill Sans MT" w:cs="Times New Roman"/>
          <w:b/>
          <w:bCs/>
          <w:i/>
          <w:iCs/>
          <w:color w:val="auto"/>
          <w:sz w:val="24"/>
          <w:lang w:val="en"/>
        </w:rPr>
      </w:pPr>
    </w:p>
    <w:p w14:paraId="522EFB8D" w14:textId="6E155780" w:rsidR="004337F5" w:rsidRPr="00640A8D" w:rsidRDefault="336A5F9D" w:rsidP="00640A8D">
      <w:pPr>
        <w:spacing w:after="160" w:line="276" w:lineRule="auto"/>
        <w:ind w:left="0" w:firstLine="0"/>
        <w:jc w:val="both"/>
        <w:rPr>
          <w:rFonts w:ascii="Gill Sans MT" w:eastAsia="Times New Roman" w:hAnsi="Gill Sans MT" w:cs="Times New Roman"/>
          <w:b/>
          <w:bCs/>
          <w:i/>
          <w:iCs/>
          <w:color w:val="auto"/>
          <w:sz w:val="24"/>
          <w:lang w:val="en"/>
        </w:rPr>
      </w:pPr>
      <w:r w:rsidRPr="00640A8D">
        <w:rPr>
          <w:rFonts w:ascii="Gill Sans MT" w:eastAsia="Times New Roman" w:hAnsi="Gill Sans MT" w:cs="Times New Roman"/>
          <w:b/>
          <w:bCs/>
          <w:i/>
          <w:iCs/>
          <w:color w:val="auto"/>
          <w:sz w:val="24"/>
          <w:lang w:val="en"/>
        </w:rPr>
        <w:t>3.2.S.7.1 Stability Summary and Conclusion (name, dosage form)</w:t>
      </w:r>
    </w:p>
    <w:p w14:paraId="52D75B9B" w14:textId="30B1BEAC" w:rsidR="004337F5"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 xml:space="preserve">Regarding the requirement for stability data for the drug substance, SADC requires that 12 months’ long-term and 6 months’ accelerated stability data be made available at the time of submission in the new registration application to facilitate allocation of retest period or shelf-life. </w:t>
      </w:r>
    </w:p>
    <w:p w14:paraId="717C491C" w14:textId="2AE21B48" w:rsidR="00C71A84" w:rsidRPr="00640A8D" w:rsidRDefault="00C71A84" w:rsidP="00640A8D">
      <w:pPr>
        <w:spacing w:after="160" w:line="276" w:lineRule="auto"/>
        <w:ind w:left="0" w:firstLine="0"/>
        <w:jc w:val="both"/>
        <w:rPr>
          <w:rFonts w:ascii="Gill Sans MT" w:eastAsia="Times New Roman" w:hAnsi="Gill Sans MT" w:cs="Times New Roman"/>
          <w:color w:val="auto"/>
          <w:sz w:val="24"/>
        </w:rPr>
      </w:pPr>
    </w:p>
    <w:p w14:paraId="08903641" w14:textId="00D7910F" w:rsidR="00FB010C" w:rsidRPr="00640A8D" w:rsidRDefault="00FB010C" w:rsidP="00640A8D">
      <w:pPr>
        <w:spacing w:after="160" w:line="276" w:lineRule="auto"/>
        <w:ind w:left="0" w:firstLine="0"/>
        <w:jc w:val="both"/>
        <w:rPr>
          <w:rFonts w:ascii="Gill Sans MT" w:eastAsia="Times New Roman" w:hAnsi="Gill Sans MT" w:cs="Times New Roman"/>
          <w:b/>
          <w:bCs/>
          <w:color w:val="auto"/>
          <w:sz w:val="24"/>
          <w:lang w:val="en"/>
        </w:rPr>
      </w:pPr>
      <w:r w:rsidRPr="00640A8D">
        <w:rPr>
          <w:rFonts w:ascii="Gill Sans MT" w:eastAsia="Times New Roman" w:hAnsi="Gill Sans MT" w:cs="Times New Roman"/>
          <w:b/>
          <w:bCs/>
          <w:color w:val="auto"/>
          <w:sz w:val="24"/>
          <w:lang w:val="en"/>
        </w:rPr>
        <w:t>3.2.P. DRUG PRODUCT (or FINISHED PHARMACEUTICAL PRODUCT (FPP) (NAME, DOSAGE FORM</w:t>
      </w:r>
    </w:p>
    <w:p w14:paraId="19DAF873" w14:textId="0A1964B5" w:rsidR="00187448" w:rsidRPr="00640A8D" w:rsidRDefault="00BC2D08" w:rsidP="00640A8D">
      <w:pPr>
        <w:spacing w:after="160" w:line="276" w:lineRule="auto"/>
        <w:ind w:left="0" w:firstLine="0"/>
        <w:jc w:val="both"/>
        <w:rPr>
          <w:rFonts w:ascii="Gill Sans MT" w:eastAsia="Times New Roman" w:hAnsi="Gill Sans MT" w:cs="Times New Roman"/>
          <w:b/>
          <w:bCs/>
          <w:color w:val="auto"/>
          <w:sz w:val="24"/>
        </w:rPr>
      </w:pPr>
      <w:r w:rsidRPr="00640A8D">
        <w:rPr>
          <w:rFonts w:ascii="Gill Sans MT" w:eastAsia="Times New Roman" w:hAnsi="Gill Sans MT" w:cs="Times New Roman"/>
          <w:b/>
          <w:bCs/>
          <w:color w:val="auto"/>
          <w:sz w:val="24"/>
          <w:lang w:val="en"/>
        </w:rPr>
        <w:t>3.2.P.2 Pharmaceutical Development (name, dosage form)</w:t>
      </w:r>
      <w:r w:rsidRPr="00640A8D">
        <w:rPr>
          <w:rFonts w:ascii="Gill Sans MT" w:eastAsia="Times New Roman" w:hAnsi="Gill Sans MT" w:cs="Times New Roman"/>
          <w:b/>
          <w:bCs/>
          <w:color w:val="auto"/>
          <w:sz w:val="24"/>
        </w:rPr>
        <w:t> </w:t>
      </w:r>
    </w:p>
    <w:p w14:paraId="32FBBDDB" w14:textId="00E4E875" w:rsidR="00B64F19" w:rsidRPr="00640A8D" w:rsidRDefault="00B64F19" w:rsidP="00640A8D">
      <w:pPr>
        <w:spacing w:after="160" w:line="276" w:lineRule="auto"/>
        <w:ind w:left="0" w:firstLine="0"/>
        <w:jc w:val="both"/>
        <w:rPr>
          <w:rFonts w:ascii="Gill Sans MT" w:eastAsia="Times New Roman" w:hAnsi="Gill Sans MT" w:cs="Times New Roman"/>
          <w:b/>
          <w:bCs/>
          <w:color w:val="auto"/>
          <w:sz w:val="24"/>
        </w:rPr>
      </w:pPr>
      <w:r w:rsidRPr="00640A8D">
        <w:rPr>
          <w:rFonts w:ascii="Gill Sans MT" w:eastAsia="Times New Roman" w:hAnsi="Gill Sans MT" w:cs="Times New Roman"/>
          <w:b/>
          <w:bCs/>
          <w:i/>
          <w:iCs/>
          <w:color w:val="auto"/>
          <w:sz w:val="24"/>
          <w:lang w:val="en"/>
        </w:rPr>
        <w:t>3.2.P.2.2.1 Formulation Development (name, dosage form)</w:t>
      </w:r>
      <w:r w:rsidRPr="00640A8D">
        <w:rPr>
          <w:rFonts w:ascii="Gill Sans MT" w:eastAsia="Times New Roman" w:hAnsi="Gill Sans MT" w:cs="Times New Roman"/>
          <w:b/>
          <w:bCs/>
          <w:color w:val="auto"/>
          <w:sz w:val="24"/>
        </w:rPr>
        <w:t> </w:t>
      </w:r>
    </w:p>
    <w:p w14:paraId="6FD50817" w14:textId="4DAC8784" w:rsidR="007E3166" w:rsidRPr="00640A8D" w:rsidRDefault="336A5F9D" w:rsidP="00640A8D">
      <w:pPr>
        <w:spacing w:after="160" w:line="276" w:lineRule="auto"/>
        <w:ind w:left="0" w:firstLine="0"/>
        <w:jc w:val="both"/>
        <w:rPr>
          <w:rFonts w:ascii="Gill Sans MT" w:eastAsia="Times New Roman" w:hAnsi="Gill Sans MT" w:cs="Times New Roman"/>
          <w:b/>
          <w:bCs/>
          <w:color w:val="auto"/>
          <w:sz w:val="24"/>
        </w:rPr>
      </w:pPr>
      <w:r w:rsidRPr="00640A8D">
        <w:rPr>
          <w:rFonts w:ascii="Gill Sans MT" w:eastAsia="Times New Roman" w:hAnsi="Gill Sans MT" w:cs="Times New Roman"/>
          <w:b/>
          <w:bCs/>
          <w:i/>
          <w:iCs/>
          <w:color w:val="auto"/>
          <w:sz w:val="24"/>
          <w:lang w:val="en"/>
        </w:rPr>
        <w:t>In vitro dissolution or drug releas</w:t>
      </w:r>
      <w:r w:rsidRPr="00640A8D">
        <w:rPr>
          <w:rFonts w:ascii="Gill Sans MT" w:eastAsia="Times New Roman" w:hAnsi="Gill Sans MT" w:cs="Times New Roman"/>
          <w:b/>
          <w:bCs/>
          <w:color w:val="auto"/>
          <w:sz w:val="24"/>
          <w:lang w:val="en"/>
        </w:rPr>
        <w:t>e:</w:t>
      </w:r>
    </w:p>
    <w:p w14:paraId="6F526F34" w14:textId="308457D8" w:rsidR="336A5F9D" w:rsidRPr="00640A8D" w:rsidRDefault="0EA631DC" w:rsidP="00640A8D">
      <w:pPr>
        <w:spacing w:after="160" w:line="276" w:lineRule="auto"/>
        <w:ind w:left="0" w:firstLine="0"/>
        <w:jc w:val="both"/>
        <w:rPr>
          <w:rFonts w:ascii="Gill Sans MT" w:eastAsia="Times New Roman" w:hAnsi="Gill Sans MT" w:cs="Times New Roman"/>
          <w:sz w:val="24"/>
        </w:rPr>
      </w:pPr>
      <w:r w:rsidRPr="00640A8D">
        <w:rPr>
          <w:rFonts w:ascii="Gill Sans MT" w:eastAsia="Times New Roman" w:hAnsi="Gill Sans MT" w:cs="Times New Roman"/>
          <w:sz w:val="24"/>
        </w:rPr>
        <w:t>Applicants should describe the development of the dissolution method, including understanding the properties of the drug substance and drug product, evaluating sink conditions, and optimizing the dissolution conditions. Adoption of pharmacopoeia methods or methods described in the OGD are considered acceptable; however, applicants must justify the appropriateness of these methods for their formulation including discriminatory nature. In addition to the data required for formulation development (as prescribed in the guidelines), applicants are expected to provide the actual experimental data supporting the selected dissolution method.</w:t>
      </w:r>
    </w:p>
    <w:p w14:paraId="638469C0" w14:textId="59F46CC6" w:rsidR="00CE3A5F" w:rsidRPr="00640A8D" w:rsidRDefault="00CE3A5F" w:rsidP="00640A8D">
      <w:pPr>
        <w:spacing w:after="160" w:line="276" w:lineRule="auto"/>
        <w:ind w:left="0" w:firstLine="0"/>
        <w:jc w:val="both"/>
        <w:rPr>
          <w:rFonts w:ascii="Gill Sans MT" w:eastAsia="Times New Roman" w:hAnsi="Gill Sans MT" w:cs="Times New Roman"/>
          <w:sz w:val="24"/>
        </w:rPr>
      </w:pPr>
    </w:p>
    <w:p w14:paraId="26B54515" w14:textId="5666B537" w:rsidR="00CE3A5F" w:rsidRPr="00640A8D" w:rsidRDefault="0EA631DC" w:rsidP="00640A8D">
      <w:pPr>
        <w:spacing w:after="160" w:line="276" w:lineRule="auto"/>
        <w:ind w:left="0" w:firstLine="0"/>
        <w:jc w:val="both"/>
        <w:rPr>
          <w:rFonts w:ascii="Gill Sans MT" w:eastAsia="Times New Roman" w:hAnsi="Gill Sans MT" w:cs="Times New Roman"/>
          <w:sz w:val="24"/>
        </w:rPr>
      </w:pPr>
      <w:r w:rsidRPr="00640A8D">
        <w:rPr>
          <w:rFonts w:ascii="Gill Sans MT" w:eastAsia="Times New Roman" w:hAnsi="Gill Sans MT" w:cs="Times New Roman"/>
          <w:sz w:val="24"/>
        </w:rPr>
        <w:t>In addition to the requirements specified in Appendix 1 of the WHO TRS 986 annex 6, the in vitro dissolution profiles for the biobatch in the standard buffer media at pH 1.2, 4.5, and 6.8, should be conducted using either the paddle apparatus at 50 rpm or the basket apparatus at 100 rpm.</w:t>
      </w:r>
    </w:p>
    <w:p w14:paraId="7215CDF0" w14:textId="6C95D9B4" w:rsidR="0EA631DC" w:rsidRPr="00640A8D" w:rsidRDefault="0EA631DC" w:rsidP="00640A8D">
      <w:pPr>
        <w:spacing w:after="160" w:line="276" w:lineRule="auto"/>
        <w:ind w:left="0" w:firstLine="0"/>
        <w:jc w:val="both"/>
        <w:rPr>
          <w:rFonts w:ascii="Gill Sans MT" w:eastAsia="Times New Roman" w:hAnsi="Gill Sans MT" w:cs="Times New Roman"/>
          <w:sz w:val="24"/>
        </w:rPr>
      </w:pPr>
    </w:p>
    <w:p w14:paraId="7BFA3AD5" w14:textId="19E807A5" w:rsidR="00CE3A5F" w:rsidRPr="00640A8D" w:rsidRDefault="005110F3" w:rsidP="00640A8D">
      <w:pPr>
        <w:spacing w:after="160" w:line="276" w:lineRule="auto"/>
        <w:ind w:left="0" w:firstLine="0"/>
        <w:jc w:val="both"/>
        <w:rPr>
          <w:rFonts w:ascii="Gill Sans MT" w:eastAsia="Times New Roman" w:hAnsi="Gill Sans MT" w:cs="Times New Roman"/>
          <w:b/>
          <w:bCs/>
          <w:i/>
          <w:iCs/>
          <w:color w:val="auto"/>
          <w:sz w:val="24"/>
        </w:rPr>
      </w:pPr>
      <w:r w:rsidRPr="00640A8D">
        <w:rPr>
          <w:rFonts w:ascii="Gill Sans MT" w:eastAsia="Times New Roman" w:hAnsi="Gill Sans MT" w:cs="Times New Roman"/>
          <w:b/>
          <w:bCs/>
          <w:i/>
          <w:iCs/>
          <w:color w:val="auto"/>
          <w:sz w:val="24"/>
        </w:rPr>
        <w:t>3.2.P.3.5 Process validation and/or evaluation (name, dosage form)</w:t>
      </w:r>
    </w:p>
    <w:p w14:paraId="4B6D8A90" w14:textId="7F964B25" w:rsidR="00CD7E8B"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 xml:space="preserve">In addition to submission of process validation protocol, the applicant should provide results of process validation studies in a form of comprehensive process validation reports for all product strengths and orientations, in line with the requirements of the guideline. </w:t>
      </w:r>
    </w:p>
    <w:p w14:paraId="672CECCD" w14:textId="32472BE4" w:rsidR="00CD7E8B"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 xml:space="preserve">Process validation protocols for prospective production scale batch sizes would be considered upon evidence of satisfactory validation of three pilot scale batches of the product. </w:t>
      </w:r>
    </w:p>
    <w:p w14:paraId="7A152115" w14:textId="3439FB67" w:rsidR="00622B63"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Process validation report should be derived from minimum of three consecutive batches, including the biobatch (representative biobatch). It is the responsibility of the applicant to justify consecutive manufacture of batches submitted under manufacturing process validation.</w:t>
      </w:r>
    </w:p>
    <w:p w14:paraId="002BC024" w14:textId="042DCDA5" w:rsidR="336A5F9D"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 xml:space="preserve">For common blends, validation of relevant critical steps should be demonstrated using a minimum of three identified consecutive lots/batches of the blend.  </w:t>
      </w:r>
    </w:p>
    <w:p w14:paraId="5D7FFCA4" w14:textId="6DFB3134" w:rsidR="336A5F9D"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 xml:space="preserve">At the time of submission, the process validation report should include, results of multi point comparative dissolution profiles of validation batches against the batch(es) used in the clinical,  bioavailability or biowaiver studies in routine QC medium. Results should be provided for individual units and average results, including % RSD and demonstrated calculation of similarity factors, where applicable. </w:t>
      </w:r>
    </w:p>
    <w:p w14:paraId="4E5B62EF" w14:textId="11E03C58" w:rsidR="336A5F9D" w:rsidRPr="00640A8D" w:rsidRDefault="336A5F9D" w:rsidP="00640A8D">
      <w:pPr>
        <w:spacing w:after="160" w:line="276" w:lineRule="auto"/>
        <w:ind w:left="0" w:firstLine="0"/>
        <w:jc w:val="both"/>
        <w:rPr>
          <w:rFonts w:ascii="Gill Sans MT" w:eastAsia="Times New Roman" w:hAnsi="Gill Sans MT" w:cs="Times New Roman"/>
          <w:b/>
          <w:bCs/>
          <w:color w:val="auto"/>
          <w:sz w:val="24"/>
          <w:lang w:val="en"/>
        </w:rPr>
      </w:pPr>
    </w:p>
    <w:p w14:paraId="1F7DFF95" w14:textId="40B49F48" w:rsidR="00FB010C" w:rsidRPr="00640A8D" w:rsidRDefault="00FB010C" w:rsidP="00640A8D">
      <w:pPr>
        <w:spacing w:after="160" w:line="276" w:lineRule="auto"/>
        <w:jc w:val="both"/>
        <w:rPr>
          <w:rFonts w:ascii="Gill Sans MT" w:eastAsia="Times New Roman" w:hAnsi="Gill Sans MT" w:cs="Times New Roman"/>
          <w:b/>
          <w:bCs/>
          <w:color w:val="auto"/>
          <w:sz w:val="24"/>
        </w:rPr>
      </w:pPr>
      <w:r w:rsidRPr="00640A8D">
        <w:rPr>
          <w:rFonts w:ascii="Gill Sans MT" w:eastAsia="Times New Roman" w:hAnsi="Gill Sans MT" w:cs="Times New Roman"/>
          <w:b/>
          <w:bCs/>
          <w:color w:val="auto"/>
          <w:sz w:val="24"/>
          <w:lang w:val="en"/>
        </w:rPr>
        <w:t>3.2.P.4 Control of Excipients (name, dosage form)</w:t>
      </w:r>
      <w:r w:rsidRPr="00640A8D">
        <w:rPr>
          <w:rFonts w:ascii="Gill Sans MT" w:eastAsia="Times New Roman" w:hAnsi="Gill Sans MT" w:cs="Times New Roman"/>
          <w:b/>
          <w:bCs/>
          <w:color w:val="auto"/>
          <w:sz w:val="24"/>
        </w:rPr>
        <w:t> </w:t>
      </w:r>
    </w:p>
    <w:p w14:paraId="79563038" w14:textId="1CA5B343" w:rsidR="00FB010C" w:rsidRPr="00640A8D" w:rsidRDefault="336A5F9D" w:rsidP="00640A8D">
      <w:pPr>
        <w:spacing w:after="160" w:line="276" w:lineRule="auto"/>
        <w:ind w:left="0" w:firstLine="0"/>
        <w:jc w:val="both"/>
        <w:rPr>
          <w:rFonts w:ascii="Gill Sans MT" w:eastAsia="Times New Roman" w:hAnsi="Gill Sans MT" w:cs="Times New Roman"/>
          <w:b/>
          <w:bCs/>
          <w:i/>
          <w:iCs/>
          <w:color w:val="auto"/>
          <w:sz w:val="24"/>
          <w:lang w:val="en"/>
        </w:rPr>
      </w:pPr>
      <w:r w:rsidRPr="00640A8D">
        <w:rPr>
          <w:rFonts w:ascii="Gill Sans MT" w:eastAsia="Times New Roman" w:hAnsi="Gill Sans MT" w:cs="Times New Roman"/>
          <w:b/>
          <w:bCs/>
          <w:i/>
          <w:iCs/>
          <w:color w:val="auto"/>
          <w:sz w:val="24"/>
        </w:rPr>
        <w:t xml:space="preserve"> 3.2.P.4.1 </w:t>
      </w:r>
      <w:r w:rsidRPr="00640A8D">
        <w:rPr>
          <w:rFonts w:ascii="Gill Sans MT" w:eastAsia="Times New Roman" w:hAnsi="Gill Sans MT" w:cs="Times New Roman"/>
          <w:b/>
          <w:bCs/>
          <w:i/>
          <w:iCs/>
          <w:color w:val="auto"/>
          <w:sz w:val="24"/>
          <w:lang w:val="en"/>
        </w:rPr>
        <w:t>Specifications (name, dosage form) and 3.2.P.4.2 Analytical procedures</w:t>
      </w:r>
    </w:p>
    <w:p w14:paraId="482A88A0" w14:textId="006DF3B9" w:rsidR="005B1636"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lang w:val="en"/>
        </w:rPr>
        <w:t xml:space="preserve">At the time of submission, specifications and analytical procedures for all excipients, irrespective of the standard claimed, should be included in the Product Dossier. </w:t>
      </w:r>
    </w:p>
    <w:p w14:paraId="2EC6CB9A" w14:textId="0AD43D51" w:rsidR="007F4532" w:rsidRPr="00640A8D" w:rsidRDefault="336A5F9D" w:rsidP="00640A8D">
      <w:pPr>
        <w:spacing w:after="160" w:line="276" w:lineRule="auto"/>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For excipients with a potential risk of contamination with diethylene glycol (DEG) or ethylene glycol (EG), applicants should control such excipient(s) in line with the relevant international guidance documents. These include:</w:t>
      </w:r>
    </w:p>
    <w:p w14:paraId="1897D750" w14:textId="1C0CB6A0" w:rsidR="007F4532" w:rsidRPr="00640A8D" w:rsidRDefault="336A5F9D" w:rsidP="00640A8D">
      <w:pPr>
        <w:pStyle w:val="ListParagraph"/>
        <w:numPr>
          <w:ilvl w:val="0"/>
          <w:numId w:val="21"/>
        </w:numPr>
        <w:spacing w:after="160" w:line="276" w:lineRule="auto"/>
        <w:jc w:val="both"/>
        <w:rPr>
          <w:rFonts w:ascii="Gill Sans MT" w:eastAsia="Times New Roman" w:hAnsi="Gill Sans MT" w:cs="Times New Roman"/>
          <w:color w:val="auto"/>
          <w:sz w:val="24"/>
        </w:rPr>
      </w:pPr>
      <w:r w:rsidRPr="00640A8D">
        <w:rPr>
          <w:rFonts w:ascii="Gill Sans MT" w:eastAsia="Times New Roman" w:hAnsi="Gill Sans MT" w:cs="Times New Roman"/>
          <w:i/>
          <w:iCs/>
          <w:color w:val="auto"/>
          <w:sz w:val="24"/>
        </w:rPr>
        <w:t xml:space="preserve">EU GMP guide annexes: Supplementary requirements: Annex 8: Sampling of starting and packaging materials: Glycerol and other excipients at high-risk of DEG/EG contamination. </w:t>
      </w:r>
    </w:p>
    <w:p w14:paraId="06DF94B9" w14:textId="0BFD05EB" w:rsidR="007F4532" w:rsidRPr="00640A8D" w:rsidRDefault="336A5F9D" w:rsidP="00640A8D">
      <w:pPr>
        <w:pStyle w:val="ListParagraph"/>
        <w:numPr>
          <w:ilvl w:val="0"/>
          <w:numId w:val="20"/>
        </w:numPr>
        <w:spacing w:after="160" w:line="276" w:lineRule="auto"/>
        <w:jc w:val="both"/>
        <w:rPr>
          <w:rFonts w:ascii="Gill Sans MT" w:eastAsia="Times New Roman" w:hAnsi="Gill Sans MT" w:cs="Times New Roman"/>
          <w:color w:val="auto"/>
          <w:sz w:val="24"/>
        </w:rPr>
      </w:pPr>
      <w:r w:rsidRPr="00640A8D">
        <w:rPr>
          <w:rFonts w:ascii="Gill Sans MT" w:eastAsia="Times New Roman" w:hAnsi="Gill Sans MT" w:cs="Times New Roman"/>
          <w:i/>
          <w:iCs/>
          <w:color w:val="auto"/>
          <w:sz w:val="24"/>
        </w:rPr>
        <w:t xml:space="preserve">USFDA Guidance on Testing of Glycerin, Propylene Glycol, Maltitol Solution, Hydrogenated Starch Hydrolysate, Sorbitol Solution, and other High-Risk Drug Components for Diethylene Glycol and Ethylene Glycol. </w:t>
      </w:r>
    </w:p>
    <w:p w14:paraId="0FCC4FF9" w14:textId="26D62B2E" w:rsidR="00FB010C" w:rsidRPr="00640A8D" w:rsidRDefault="336A5F9D" w:rsidP="00640A8D">
      <w:pPr>
        <w:pStyle w:val="ListParagraph"/>
        <w:numPr>
          <w:ilvl w:val="0"/>
          <w:numId w:val="20"/>
        </w:numPr>
        <w:spacing w:after="160" w:line="276" w:lineRule="auto"/>
        <w:jc w:val="both"/>
        <w:rPr>
          <w:rFonts w:ascii="Gill Sans MT" w:eastAsia="Times New Roman" w:hAnsi="Gill Sans MT" w:cs="Times New Roman"/>
          <w:color w:val="auto"/>
          <w:sz w:val="24"/>
        </w:rPr>
      </w:pPr>
      <w:r w:rsidRPr="00640A8D">
        <w:rPr>
          <w:rFonts w:ascii="Gill Sans MT" w:eastAsia="Times New Roman" w:hAnsi="Gill Sans MT" w:cs="Times New Roman"/>
          <w:i/>
          <w:iCs/>
          <w:color w:val="auto"/>
          <w:sz w:val="24"/>
        </w:rPr>
        <w:t>The Officially recognized Pharmacopoeia for testing DEG/EG.</w:t>
      </w:r>
    </w:p>
    <w:p w14:paraId="7D2C23CB" w14:textId="77777777" w:rsidR="007F4532" w:rsidRPr="00640A8D" w:rsidRDefault="007F4532" w:rsidP="00640A8D">
      <w:pPr>
        <w:pStyle w:val="ListParagraph"/>
        <w:spacing w:after="160" w:line="276" w:lineRule="auto"/>
        <w:ind w:firstLine="0"/>
        <w:jc w:val="both"/>
        <w:rPr>
          <w:rFonts w:ascii="Gill Sans MT" w:eastAsia="Times New Roman" w:hAnsi="Gill Sans MT" w:cs="Times New Roman"/>
          <w:color w:val="auto"/>
          <w:sz w:val="24"/>
        </w:rPr>
      </w:pPr>
    </w:p>
    <w:p w14:paraId="219869F1" w14:textId="56583D15" w:rsidR="006C5A48" w:rsidRPr="00640A8D" w:rsidRDefault="336A5F9D" w:rsidP="00640A8D">
      <w:pPr>
        <w:spacing w:after="160" w:line="276" w:lineRule="auto"/>
        <w:ind w:left="0" w:firstLine="0"/>
        <w:jc w:val="both"/>
        <w:rPr>
          <w:rFonts w:ascii="Gill Sans MT" w:eastAsia="Times New Roman" w:hAnsi="Gill Sans MT" w:cs="Times New Roman"/>
          <w:b/>
          <w:bCs/>
          <w:i/>
          <w:iCs/>
          <w:color w:val="auto"/>
          <w:sz w:val="24"/>
        </w:rPr>
      </w:pPr>
      <w:r w:rsidRPr="00640A8D">
        <w:rPr>
          <w:rFonts w:ascii="Gill Sans MT" w:eastAsia="Times New Roman" w:hAnsi="Gill Sans MT" w:cs="Times New Roman"/>
          <w:b/>
          <w:bCs/>
          <w:i/>
          <w:iCs/>
          <w:color w:val="auto"/>
          <w:sz w:val="24"/>
        </w:rPr>
        <w:t>3.2.P </w:t>
      </w:r>
      <w:r w:rsidRPr="00640A8D">
        <w:rPr>
          <w:rFonts w:ascii="Gill Sans MT" w:eastAsia="Times New Roman" w:hAnsi="Gill Sans MT" w:cs="Times New Roman"/>
          <w:b/>
          <w:bCs/>
          <w:i/>
          <w:iCs/>
          <w:color w:val="auto"/>
          <w:sz w:val="24"/>
          <w:lang w:val="en"/>
        </w:rPr>
        <w:t>Control of Drug Product/ Finished Pharmaceutical Product (name, dosage form)</w:t>
      </w:r>
      <w:r w:rsidRPr="00640A8D">
        <w:rPr>
          <w:rFonts w:ascii="Gill Sans MT" w:eastAsia="Times New Roman" w:hAnsi="Gill Sans MT" w:cs="Times New Roman"/>
          <w:b/>
          <w:bCs/>
          <w:i/>
          <w:iCs/>
          <w:color w:val="auto"/>
          <w:sz w:val="24"/>
        </w:rPr>
        <w:t> </w:t>
      </w:r>
    </w:p>
    <w:p w14:paraId="7B88B379" w14:textId="77777777" w:rsidR="006C5A48" w:rsidRPr="00640A8D" w:rsidRDefault="336A5F9D" w:rsidP="00640A8D">
      <w:pPr>
        <w:spacing w:after="160" w:line="276" w:lineRule="auto"/>
        <w:ind w:left="0" w:firstLine="0"/>
        <w:jc w:val="both"/>
        <w:rPr>
          <w:rFonts w:ascii="Gill Sans MT" w:eastAsia="Times New Roman" w:hAnsi="Gill Sans MT" w:cs="Times New Roman"/>
          <w:b/>
          <w:bCs/>
          <w:i/>
          <w:iCs/>
          <w:color w:val="auto"/>
          <w:sz w:val="24"/>
        </w:rPr>
      </w:pPr>
      <w:r w:rsidRPr="00640A8D">
        <w:rPr>
          <w:rFonts w:ascii="Gill Sans MT" w:eastAsia="Times New Roman" w:hAnsi="Gill Sans MT" w:cs="Times New Roman"/>
          <w:b/>
          <w:bCs/>
          <w:i/>
          <w:iCs/>
          <w:color w:val="auto"/>
          <w:sz w:val="24"/>
        </w:rPr>
        <w:t xml:space="preserve">3.2.P.5.5 </w:t>
      </w:r>
      <w:proofErr w:type="spellStart"/>
      <w:r w:rsidRPr="00640A8D">
        <w:rPr>
          <w:rFonts w:ascii="Gill Sans MT" w:eastAsia="Times New Roman" w:hAnsi="Gill Sans MT" w:cs="Times New Roman"/>
          <w:b/>
          <w:bCs/>
          <w:i/>
          <w:iCs/>
          <w:color w:val="auto"/>
          <w:sz w:val="24"/>
        </w:rPr>
        <w:t>Characterisation</w:t>
      </w:r>
      <w:proofErr w:type="spellEnd"/>
      <w:r w:rsidRPr="00640A8D">
        <w:rPr>
          <w:rFonts w:ascii="Gill Sans MT" w:eastAsia="Times New Roman" w:hAnsi="Gill Sans MT" w:cs="Times New Roman"/>
          <w:b/>
          <w:bCs/>
          <w:i/>
          <w:iCs/>
          <w:color w:val="auto"/>
          <w:sz w:val="24"/>
        </w:rPr>
        <w:t xml:space="preserve"> of Impurities (name, dosage form) </w:t>
      </w:r>
    </w:p>
    <w:p w14:paraId="39757F0B" w14:textId="0C6650A4" w:rsidR="336A5F9D"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 xml:space="preserve">For establishing limits for highly toxic impurities (genotoxic and carcinogens) used in the process or formed as a by-product , the applicant should use available guidance's such as the ICH M7, EMA </w:t>
      </w:r>
      <w:r w:rsidRPr="00640A8D">
        <w:rPr>
          <w:rFonts w:ascii="Gill Sans MT" w:eastAsia="Times New Roman" w:hAnsi="Gill Sans MT" w:cs="Times New Roman"/>
          <w:color w:val="auto"/>
          <w:sz w:val="24"/>
        </w:rPr>
        <w:lastRenderedPageBreak/>
        <w:t>Nitrosamine impurities in human medicines and WHO TRS 1060, Annex 2: WHO good practice considerations for the prevention and control of nitrosamines in pharmaceutical products  Other equivalent guidelines may also be considered.</w:t>
      </w:r>
    </w:p>
    <w:p w14:paraId="21439717" w14:textId="36CA7F77" w:rsidR="336A5F9D" w:rsidRPr="00640A8D" w:rsidRDefault="336A5F9D" w:rsidP="00640A8D">
      <w:pPr>
        <w:spacing w:after="160" w:line="276" w:lineRule="auto"/>
        <w:ind w:left="0" w:firstLine="0"/>
        <w:jc w:val="both"/>
        <w:rPr>
          <w:rFonts w:ascii="Gill Sans MT" w:eastAsia="Times New Roman" w:hAnsi="Gill Sans MT" w:cs="Times New Roman"/>
          <w:color w:val="auto"/>
          <w:sz w:val="24"/>
          <w:highlight w:val="yellow"/>
        </w:rPr>
      </w:pPr>
    </w:p>
    <w:p w14:paraId="0CCA118F" w14:textId="77777777" w:rsidR="006C5A48" w:rsidRPr="00640A8D" w:rsidRDefault="006C5A48" w:rsidP="00640A8D">
      <w:pPr>
        <w:spacing w:after="160" w:line="276" w:lineRule="auto"/>
        <w:ind w:left="0" w:firstLine="0"/>
        <w:jc w:val="both"/>
        <w:rPr>
          <w:rFonts w:ascii="Gill Sans MT" w:eastAsia="Times New Roman" w:hAnsi="Gill Sans MT" w:cs="Times New Roman"/>
          <w:b/>
          <w:bCs/>
          <w:i/>
          <w:iCs/>
          <w:color w:val="auto"/>
          <w:sz w:val="24"/>
          <w:lang w:val="en"/>
        </w:rPr>
      </w:pPr>
      <w:r w:rsidRPr="00640A8D">
        <w:rPr>
          <w:rFonts w:ascii="Gill Sans MT" w:eastAsia="Times New Roman" w:hAnsi="Gill Sans MT" w:cs="Times New Roman"/>
          <w:b/>
          <w:bCs/>
          <w:i/>
          <w:iCs/>
          <w:color w:val="auto"/>
          <w:sz w:val="24"/>
          <w:lang w:val="en"/>
        </w:rPr>
        <w:t>3.2.P.8.1 Stability Summary and Conclusion (name, dosage form)</w:t>
      </w:r>
    </w:p>
    <w:p w14:paraId="3F104668" w14:textId="27FA9FBF" w:rsidR="006C5A48" w:rsidRPr="00640A8D" w:rsidRDefault="006C5A48"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Stability data must demonstrate stability of the medicinal product throughout its intended shelf life under the climatic conditions prevalent in the SADC region. SADC M</w:t>
      </w:r>
      <w:r w:rsidR="00812CB9" w:rsidRPr="00640A8D">
        <w:rPr>
          <w:rFonts w:ascii="Gill Sans MT" w:eastAsia="Times New Roman" w:hAnsi="Gill Sans MT" w:cs="Times New Roman"/>
          <w:color w:val="auto"/>
          <w:sz w:val="24"/>
        </w:rPr>
        <w:t xml:space="preserve">ember </w:t>
      </w:r>
      <w:r w:rsidRPr="00640A8D">
        <w:rPr>
          <w:rFonts w:ascii="Gill Sans MT" w:eastAsia="Times New Roman" w:hAnsi="Gill Sans MT" w:cs="Times New Roman"/>
          <w:color w:val="auto"/>
          <w:sz w:val="24"/>
        </w:rPr>
        <w:t>S</w:t>
      </w:r>
      <w:r w:rsidR="00812CB9" w:rsidRPr="00640A8D">
        <w:rPr>
          <w:rFonts w:ascii="Gill Sans MT" w:eastAsia="Times New Roman" w:hAnsi="Gill Sans MT" w:cs="Times New Roman"/>
          <w:color w:val="auto"/>
          <w:sz w:val="24"/>
        </w:rPr>
        <w:t>tates</w:t>
      </w:r>
      <w:r w:rsidRPr="00640A8D">
        <w:rPr>
          <w:rFonts w:ascii="Gill Sans MT" w:eastAsia="Times New Roman" w:hAnsi="Gill Sans MT" w:cs="Times New Roman"/>
          <w:color w:val="auto"/>
          <w:sz w:val="24"/>
        </w:rPr>
        <w:t xml:space="preserve"> fall into climatic zones II, </w:t>
      </w:r>
      <w:proofErr w:type="spellStart"/>
      <w:r w:rsidRPr="00640A8D">
        <w:rPr>
          <w:rFonts w:ascii="Gill Sans MT" w:eastAsia="Times New Roman" w:hAnsi="Gill Sans MT" w:cs="Times New Roman"/>
          <w:color w:val="auto"/>
          <w:sz w:val="24"/>
        </w:rPr>
        <w:t>IVa</w:t>
      </w:r>
      <w:proofErr w:type="spellEnd"/>
      <w:r w:rsidRPr="00640A8D">
        <w:rPr>
          <w:rFonts w:ascii="Gill Sans MT" w:eastAsia="Times New Roman" w:hAnsi="Gill Sans MT" w:cs="Times New Roman"/>
          <w:color w:val="auto"/>
          <w:sz w:val="24"/>
        </w:rPr>
        <w:t xml:space="preserve"> and IVb. (Refer to WHO Technical Report Series, No. 953, Annex 2, Appendix 1 for information on climatic zones). For products intended for marketing in the whole region, the most extreme conditions, i.e. for climatic zone IVb, 30°C±2°C/75% should be applied for long-term studies, unless otherwise justified. </w:t>
      </w:r>
    </w:p>
    <w:p w14:paraId="269414CB" w14:textId="60A1D709" w:rsidR="00812CB9"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 xml:space="preserve">Regarding the requirement for stability data for all product types, SADC requires that at least 12 months’ long-term and 6 months’ accelerated stability data is made available at the time of submission in the new registration application to facilitate allocation of shelf-life. </w:t>
      </w:r>
    </w:p>
    <w:p w14:paraId="77358210" w14:textId="77777777" w:rsidR="00812CB9" w:rsidRPr="00640A8D" w:rsidRDefault="00812CB9" w:rsidP="00640A8D">
      <w:pPr>
        <w:spacing w:after="160" w:line="276" w:lineRule="auto"/>
        <w:ind w:left="0" w:firstLine="0"/>
        <w:jc w:val="both"/>
        <w:rPr>
          <w:rFonts w:ascii="Gill Sans MT" w:eastAsia="Times New Roman" w:hAnsi="Gill Sans MT" w:cs="Times New Roman"/>
          <w:color w:val="auto"/>
          <w:sz w:val="24"/>
        </w:rPr>
      </w:pPr>
    </w:p>
    <w:p w14:paraId="17F8B379" w14:textId="0C0C08B6" w:rsidR="00812CB9" w:rsidRPr="00640A8D" w:rsidRDefault="336A5F9D" w:rsidP="00640A8D">
      <w:pPr>
        <w:spacing w:after="160" w:line="276" w:lineRule="auto"/>
        <w:ind w:left="0" w:firstLine="0"/>
        <w:jc w:val="both"/>
        <w:rPr>
          <w:rFonts w:ascii="Gill Sans MT" w:hAnsi="Gill Sans MT" w:cs="Times New Roman"/>
          <w:sz w:val="24"/>
        </w:rPr>
      </w:pPr>
      <w:r w:rsidRPr="00640A8D">
        <w:rPr>
          <w:rFonts w:ascii="Gill Sans MT" w:eastAsia="Times New Roman" w:hAnsi="Gill Sans MT" w:cs="Times New Roman"/>
          <w:sz w:val="24"/>
        </w:rPr>
        <w:t>At the time of submission, accelerated and long</w:t>
      </w:r>
      <w:r w:rsidRPr="00640A8D">
        <w:rPr>
          <w:rFonts w:ascii="Cambria Math" w:eastAsia="Times New Roman" w:hAnsi="Cambria Math" w:cs="Cambria Math"/>
          <w:sz w:val="24"/>
        </w:rPr>
        <w:t>‑</w:t>
      </w:r>
      <w:r w:rsidRPr="00640A8D">
        <w:rPr>
          <w:rFonts w:ascii="Gill Sans MT" w:eastAsia="Times New Roman" w:hAnsi="Gill Sans MT" w:cs="Times New Roman"/>
          <w:sz w:val="24"/>
        </w:rPr>
        <w:t>term stability data older than five years should be supplemented with recent long</w:t>
      </w:r>
      <w:r w:rsidRPr="00640A8D">
        <w:rPr>
          <w:rFonts w:ascii="Cambria Math" w:eastAsia="Times New Roman" w:hAnsi="Cambria Math" w:cs="Cambria Math"/>
          <w:sz w:val="24"/>
        </w:rPr>
        <w:t>‑</w:t>
      </w:r>
      <w:r w:rsidRPr="00640A8D">
        <w:rPr>
          <w:rFonts w:ascii="Gill Sans MT" w:eastAsia="Times New Roman" w:hAnsi="Gill Sans MT" w:cs="Times New Roman"/>
          <w:sz w:val="24"/>
        </w:rPr>
        <w:t>term stability data (covering at least 12 months and not older than five years) from a minimum of three batches, generated under the annual stability program in accordance with the established protocol</w:t>
      </w:r>
      <w:r w:rsidRPr="00640A8D">
        <w:rPr>
          <w:rFonts w:ascii="Gill Sans MT" w:eastAsia="Times New Roman" w:hAnsi="Gill Sans MT" w:cs="Times New Roman"/>
          <w:color w:val="auto"/>
          <w:sz w:val="24"/>
        </w:rPr>
        <w:t>.</w:t>
      </w:r>
    </w:p>
    <w:p w14:paraId="5B16AB1D" w14:textId="07ABE039" w:rsidR="336A5F9D" w:rsidRPr="00640A8D" w:rsidRDefault="336A5F9D" w:rsidP="00640A8D">
      <w:pPr>
        <w:spacing w:after="160" w:line="276" w:lineRule="auto"/>
        <w:ind w:left="0" w:firstLine="0"/>
        <w:jc w:val="both"/>
        <w:rPr>
          <w:rFonts w:ascii="Gill Sans MT" w:eastAsia="Times New Roman" w:hAnsi="Gill Sans MT" w:cs="Times New Roman"/>
          <w:color w:val="auto"/>
          <w:sz w:val="24"/>
        </w:rPr>
      </w:pPr>
    </w:p>
    <w:p w14:paraId="6C0787DC" w14:textId="1198FDAE" w:rsidR="336A5F9D" w:rsidRPr="00640A8D" w:rsidRDefault="336A5F9D" w:rsidP="00640A8D">
      <w:pPr>
        <w:spacing w:after="160" w:line="276" w:lineRule="auto"/>
        <w:ind w:left="0" w:firstLine="0"/>
        <w:jc w:val="both"/>
        <w:rPr>
          <w:rFonts w:ascii="Gill Sans MT" w:eastAsia="Times New Roman" w:hAnsi="Gill Sans MT" w:cs="Times New Roman"/>
          <w:b/>
          <w:bCs/>
          <w:color w:val="auto"/>
          <w:sz w:val="24"/>
        </w:rPr>
      </w:pPr>
      <w:r w:rsidRPr="00640A8D">
        <w:rPr>
          <w:rFonts w:ascii="Gill Sans MT" w:eastAsia="Times New Roman" w:hAnsi="Gill Sans MT" w:cs="Times New Roman"/>
          <w:b/>
          <w:bCs/>
          <w:color w:val="auto"/>
          <w:sz w:val="24"/>
        </w:rPr>
        <w:t>ADDITIONAL QUALITY REQUIREMENTS FOR SPECIFIC PRODUCT CATEGORIES</w:t>
      </w:r>
    </w:p>
    <w:p w14:paraId="0E127FE0" w14:textId="26EA88A7" w:rsidR="336A5F9D" w:rsidRPr="00640A8D" w:rsidRDefault="336A5F9D" w:rsidP="00640A8D">
      <w:pPr>
        <w:spacing w:after="160" w:line="276" w:lineRule="auto"/>
        <w:ind w:left="0" w:firstLine="0"/>
        <w:jc w:val="both"/>
        <w:rPr>
          <w:rFonts w:ascii="Gill Sans MT" w:hAnsi="Gill Sans MT" w:cs="Times New Roman"/>
          <w:sz w:val="24"/>
        </w:rPr>
      </w:pPr>
      <w:r w:rsidRPr="00640A8D">
        <w:rPr>
          <w:rFonts w:ascii="Gill Sans MT" w:eastAsia="Times New Roman" w:hAnsi="Gill Sans MT" w:cs="Times New Roman"/>
          <w:sz w:val="24"/>
        </w:rPr>
        <w:t xml:space="preserve">Additional quality requirements for other categories of products, such as biologicals and vaccines, are outlined in specific SADC guidelines. Applicants should consult those guidelines in conjunction with the requirements specified in this guideline. </w:t>
      </w:r>
    </w:p>
    <w:p w14:paraId="43ACBDF4" w14:textId="53BFD27A" w:rsidR="336A5F9D" w:rsidRPr="00640A8D" w:rsidRDefault="336A5F9D" w:rsidP="00640A8D">
      <w:pPr>
        <w:spacing w:after="160" w:line="276" w:lineRule="auto"/>
        <w:ind w:left="0" w:firstLine="0"/>
        <w:jc w:val="both"/>
        <w:rPr>
          <w:rFonts w:ascii="Gill Sans MT" w:eastAsia="Times New Roman" w:hAnsi="Gill Sans MT" w:cs="Times New Roman"/>
          <w:sz w:val="24"/>
        </w:rPr>
      </w:pPr>
    </w:p>
    <w:p w14:paraId="1A7E9701" w14:textId="59A5ABCF" w:rsidR="336A5F9D" w:rsidRPr="00640A8D" w:rsidRDefault="336A5F9D" w:rsidP="00640A8D">
      <w:pPr>
        <w:spacing w:after="160" w:line="276" w:lineRule="auto"/>
        <w:ind w:left="0" w:firstLine="0"/>
        <w:jc w:val="both"/>
        <w:rPr>
          <w:rFonts w:ascii="Gill Sans MT" w:eastAsia="Times New Roman" w:hAnsi="Gill Sans MT" w:cs="Times New Roman"/>
          <w:b/>
          <w:bCs/>
          <w:color w:val="auto"/>
          <w:sz w:val="24"/>
        </w:rPr>
      </w:pPr>
      <w:r w:rsidRPr="00640A8D">
        <w:rPr>
          <w:rFonts w:ascii="Gill Sans MT" w:eastAsia="Times New Roman" w:hAnsi="Gill Sans MT" w:cs="Times New Roman"/>
          <w:b/>
          <w:bCs/>
          <w:color w:val="auto"/>
          <w:sz w:val="24"/>
        </w:rPr>
        <w:t>DOCUMENTATION</w:t>
      </w:r>
    </w:p>
    <w:p w14:paraId="31E026AE" w14:textId="1C242110" w:rsidR="336A5F9D" w:rsidRPr="00640A8D" w:rsidRDefault="336A5F9D" w:rsidP="00640A8D">
      <w:pPr>
        <w:spacing w:after="160" w:line="276" w:lineRule="auto"/>
        <w:ind w:left="0" w:firstLine="0"/>
        <w:jc w:val="both"/>
        <w:rPr>
          <w:rFonts w:ascii="Gill Sans MT" w:eastAsia="Times New Roman" w:hAnsi="Gill Sans MT" w:cs="Times New Roman"/>
          <w:color w:val="auto"/>
          <w:sz w:val="24"/>
          <w:highlight w:val="yellow"/>
        </w:rPr>
      </w:pPr>
      <w:r w:rsidRPr="00640A8D">
        <w:rPr>
          <w:rFonts w:ascii="Gill Sans MT" w:eastAsia="Times New Roman" w:hAnsi="Gill Sans MT" w:cs="Times New Roman"/>
          <w:color w:val="auto"/>
          <w:sz w:val="24"/>
        </w:rPr>
        <w:t xml:space="preserve">The Applicant should ensure that the </w:t>
      </w:r>
      <w:r w:rsidR="008D64F9" w:rsidRPr="00640A8D">
        <w:rPr>
          <w:rFonts w:ascii="Gill Sans MT" w:eastAsia="Times New Roman" w:hAnsi="Gill Sans MT" w:cs="Times New Roman"/>
          <w:color w:val="auto"/>
          <w:sz w:val="24"/>
        </w:rPr>
        <w:t>Product Dossier (</w:t>
      </w:r>
      <w:r w:rsidRPr="00640A8D">
        <w:rPr>
          <w:rFonts w:ascii="Gill Sans MT" w:eastAsia="Times New Roman" w:hAnsi="Gill Sans MT" w:cs="Times New Roman"/>
          <w:color w:val="auto"/>
          <w:sz w:val="24"/>
        </w:rPr>
        <w:t>PD</w:t>
      </w:r>
      <w:r w:rsidR="008D64F9" w:rsidRPr="00640A8D">
        <w:rPr>
          <w:rFonts w:ascii="Gill Sans MT" w:eastAsia="Times New Roman" w:hAnsi="Gill Sans MT" w:cs="Times New Roman"/>
          <w:color w:val="auto"/>
          <w:sz w:val="24"/>
        </w:rPr>
        <w:t xml:space="preserve">) </w:t>
      </w:r>
      <w:r w:rsidRPr="00640A8D">
        <w:rPr>
          <w:rFonts w:ascii="Gill Sans MT" w:eastAsia="Times New Roman" w:hAnsi="Gill Sans MT" w:cs="Times New Roman"/>
          <w:color w:val="auto"/>
          <w:sz w:val="24"/>
        </w:rPr>
        <w:t xml:space="preserve">is accompanied by the current versions of both the QOS and QIS (MS Word format) fully populated by the Applicant. </w:t>
      </w:r>
      <w:r w:rsidRPr="00640A8D">
        <w:rPr>
          <w:rFonts w:ascii="Gill Sans MT" w:eastAsia="Times New Roman" w:hAnsi="Gill Sans MT" w:cs="Times New Roman"/>
          <w:color w:val="auto"/>
          <w:sz w:val="24"/>
          <w:highlight w:val="yellow"/>
        </w:rPr>
        <w:t>(include links of the QOS and QIS here)</w:t>
      </w:r>
    </w:p>
    <w:p w14:paraId="78C56318" w14:textId="257CB1C3" w:rsidR="336A5F9D" w:rsidRPr="00640A8D" w:rsidRDefault="336A5F9D"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t xml:space="preserve">Applicants are advised to consult the SADC guideline on submission of applications for registration for further details on information required to accompany the </w:t>
      </w:r>
      <w:r w:rsidR="008D64F9" w:rsidRPr="00640A8D">
        <w:rPr>
          <w:rFonts w:ascii="Gill Sans MT" w:eastAsia="Times New Roman" w:hAnsi="Gill Sans MT" w:cs="Times New Roman"/>
          <w:color w:val="auto"/>
          <w:sz w:val="24"/>
        </w:rPr>
        <w:t>PD</w:t>
      </w:r>
      <w:r w:rsidRPr="00640A8D">
        <w:rPr>
          <w:rFonts w:ascii="Gill Sans MT" w:eastAsia="Times New Roman" w:hAnsi="Gill Sans MT" w:cs="Times New Roman"/>
          <w:color w:val="auto"/>
          <w:sz w:val="24"/>
        </w:rPr>
        <w:t xml:space="preserve">. </w:t>
      </w:r>
    </w:p>
    <w:p w14:paraId="1161472F" w14:textId="77777777" w:rsidR="00A019C2" w:rsidRPr="00640A8D" w:rsidRDefault="00A019C2" w:rsidP="00640A8D">
      <w:pPr>
        <w:spacing w:after="160" w:line="276" w:lineRule="auto"/>
        <w:ind w:left="0" w:firstLine="0"/>
        <w:jc w:val="both"/>
        <w:rPr>
          <w:rFonts w:ascii="Gill Sans MT" w:eastAsia="Times New Roman" w:hAnsi="Gill Sans MT" w:cs="Times New Roman"/>
          <w:color w:val="auto"/>
          <w:sz w:val="24"/>
          <w:highlight w:val="yellow"/>
        </w:rPr>
      </w:pPr>
    </w:p>
    <w:p w14:paraId="29118125" w14:textId="7B7E82AD" w:rsidR="1C716182" w:rsidRPr="00640A8D" w:rsidRDefault="24F936F4" w:rsidP="00640A8D">
      <w:pPr>
        <w:spacing w:after="160" w:line="276" w:lineRule="auto"/>
        <w:ind w:left="0" w:firstLine="0"/>
        <w:jc w:val="both"/>
        <w:rPr>
          <w:rFonts w:ascii="Gill Sans MT" w:eastAsia="Times New Roman" w:hAnsi="Gill Sans MT" w:cs="Times New Roman"/>
          <w:b/>
          <w:color w:val="auto"/>
          <w:sz w:val="24"/>
        </w:rPr>
      </w:pPr>
      <w:r w:rsidRPr="00640A8D">
        <w:rPr>
          <w:rFonts w:ascii="Gill Sans MT" w:eastAsia="Times New Roman" w:hAnsi="Gill Sans MT" w:cs="Times New Roman"/>
          <w:b/>
          <w:color w:val="auto"/>
          <w:sz w:val="24"/>
        </w:rPr>
        <w:t xml:space="preserve">Disclaimer: </w:t>
      </w:r>
    </w:p>
    <w:p w14:paraId="286D827C" w14:textId="507F516B" w:rsidR="1C716182" w:rsidRPr="00640A8D" w:rsidRDefault="24F936F4" w:rsidP="00640A8D">
      <w:pPr>
        <w:spacing w:after="160" w:line="276" w:lineRule="auto"/>
        <w:ind w:left="0" w:firstLine="0"/>
        <w:jc w:val="both"/>
        <w:rPr>
          <w:rFonts w:ascii="Gill Sans MT" w:eastAsia="Times New Roman" w:hAnsi="Gill Sans MT" w:cs="Times New Roman"/>
          <w:color w:val="auto"/>
          <w:sz w:val="24"/>
        </w:rPr>
      </w:pPr>
      <w:r w:rsidRPr="00640A8D">
        <w:rPr>
          <w:rFonts w:ascii="Gill Sans MT" w:eastAsia="Times New Roman" w:hAnsi="Gill Sans MT" w:cs="Times New Roman"/>
          <w:color w:val="auto"/>
          <w:sz w:val="24"/>
        </w:rPr>
        <w:lastRenderedPageBreak/>
        <w:t xml:space="preserve">All guidelines adopted/adapted by SADC from international organizations such as WHO, the International Council for </w:t>
      </w:r>
      <w:proofErr w:type="spellStart"/>
      <w:r w:rsidRPr="00640A8D">
        <w:rPr>
          <w:rFonts w:ascii="Gill Sans MT" w:eastAsia="Times New Roman" w:hAnsi="Gill Sans MT" w:cs="Times New Roman"/>
          <w:color w:val="auto"/>
          <w:sz w:val="24"/>
        </w:rPr>
        <w:t>Harmonisation</w:t>
      </w:r>
      <w:proofErr w:type="spellEnd"/>
      <w:r w:rsidRPr="00640A8D">
        <w:rPr>
          <w:rFonts w:ascii="Gill Sans MT" w:eastAsia="Times New Roman" w:hAnsi="Gill Sans MT" w:cs="Times New Roman"/>
          <w:color w:val="auto"/>
          <w:sz w:val="24"/>
        </w:rPr>
        <w:t xml:space="preserve"> of Technical Requirements for Pharmaceuticals for Human Use (ICH) must be read in conjunction with the current, applicable SADC guidelines. </w:t>
      </w:r>
    </w:p>
    <w:p w14:paraId="6A501F67" w14:textId="73AD355C" w:rsidR="008B12DF" w:rsidRPr="00640A8D" w:rsidRDefault="00C73274" w:rsidP="00640A8D">
      <w:pPr>
        <w:spacing w:after="160" w:line="276" w:lineRule="auto"/>
        <w:ind w:left="0" w:firstLine="0"/>
        <w:jc w:val="both"/>
        <w:rPr>
          <w:rFonts w:ascii="Gill Sans MT" w:hAnsi="Gill Sans MT" w:cs="Times New Roman"/>
          <w:color w:val="auto"/>
          <w:sz w:val="24"/>
        </w:rPr>
      </w:pPr>
      <w:r w:rsidRPr="00640A8D">
        <w:rPr>
          <w:rFonts w:ascii="Gill Sans MT" w:eastAsia="Times New Roman" w:hAnsi="Gill Sans MT" w:cs="Times New Roman"/>
          <w:color w:val="auto"/>
          <w:sz w:val="24"/>
          <w:highlight w:val="yellow"/>
        </w:rPr>
        <w:t>SADC-Medicines Regulatory Harmonization</w:t>
      </w:r>
      <w:r w:rsidRPr="00640A8D">
        <w:rPr>
          <w:rFonts w:ascii="Gill Sans MT" w:eastAsia="Times New Roman" w:hAnsi="Gill Sans MT" w:cs="Times New Roman"/>
          <w:color w:val="auto"/>
          <w:sz w:val="24"/>
        </w:rPr>
        <w:t xml:space="preserve"> (Zazibona)/SADC NRAs</w:t>
      </w:r>
      <w:r w:rsidR="336A5F9D" w:rsidRPr="00640A8D">
        <w:rPr>
          <w:rFonts w:ascii="Gill Sans MT" w:eastAsia="Times New Roman" w:hAnsi="Gill Sans MT" w:cs="Times New Roman"/>
          <w:color w:val="auto"/>
          <w:sz w:val="24"/>
        </w:rPr>
        <w:t xml:space="preserve"> reserves the right to request additional information in keeping with the knowledge current at the time of evaluation.  It is not intended as an exclusive approach as alternative approaches may be used but should be scientifically and technically justified. </w:t>
      </w:r>
      <w:r w:rsidR="336A5F9D" w:rsidRPr="00640A8D">
        <w:rPr>
          <w:rFonts w:ascii="Gill Sans MT" w:hAnsi="Gill Sans MT" w:cs="Times New Roman"/>
          <w:color w:val="auto"/>
          <w:sz w:val="24"/>
        </w:rPr>
        <w:t xml:space="preserve"> </w:t>
      </w:r>
    </w:p>
    <w:p w14:paraId="0E43FBF4" w14:textId="77777777" w:rsidR="00B62507" w:rsidRPr="00640A8D" w:rsidRDefault="00B62507" w:rsidP="00640A8D">
      <w:pPr>
        <w:spacing w:after="160" w:line="276" w:lineRule="auto"/>
        <w:ind w:left="0" w:firstLine="0"/>
        <w:jc w:val="both"/>
        <w:rPr>
          <w:rFonts w:ascii="Gill Sans MT" w:hAnsi="Gill Sans MT" w:cs="Times New Roman"/>
          <w:color w:val="auto"/>
          <w:sz w:val="24"/>
        </w:rPr>
      </w:pPr>
    </w:p>
    <w:p w14:paraId="34C446DD" w14:textId="57BCF166" w:rsidR="00B62507" w:rsidRPr="00640A8D" w:rsidRDefault="00B62507" w:rsidP="00640A8D">
      <w:pPr>
        <w:spacing w:line="276" w:lineRule="auto"/>
        <w:jc w:val="both"/>
        <w:rPr>
          <w:rFonts w:ascii="Gill Sans MT" w:hAnsi="Gill Sans MT" w:cs="Times New Roman"/>
          <w:b/>
          <w:bCs/>
          <w:sz w:val="24"/>
        </w:rPr>
      </w:pPr>
      <w:r w:rsidRPr="00640A8D">
        <w:rPr>
          <w:rFonts w:ascii="Gill Sans MT" w:hAnsi="Gill Sans MT" w:cs="Times New Roman"/>
          <w:b/>
          <w:bCs/>
          <w:sz w:val="24"/>
        </w:rPr>
        <w:t xml:space="preserve">ADDITIONAL </w:t>
      </w:r>
      <w:r w:rsidR="00637EA9" w:rsidRPr="00640A8D">
        <w:rPr>
          <w:rFonts w:ascii="Gill Sans MT" w:hAnsi="Gill Sans MT" w:cs="Times New Roman"/>
          <w:b/>
          <w:bCs/>
          <w:sz w:val="24"/>
        </w:rPr>
        <w:t xml:space="preserve">REFERENCES TO THE </w:t>
      </w:r>
      <w:r w:rsidRPr="00640A8D">
        <w:rPr>
          <w:rFonts w:ascii="Gill Sans MT" w:hAnsi="Gill Sans MT" w:cs="Times New Roman"/>
          <w:b/>
          <w:bCs/>
          <w:sz w:val="24"/>
        </w:rPr>
        <w:t xml:space="preserve">QUALITY GUIDELINES. </w:t>
      </w:r>
    </w:p>
    <w:p w14:paraId="68DF4FA5" w14:textId="77777777" w:rsidR="00B62507" w:rsidRPr="00640A8D" w:rsidRDefault="00B62507" w:rsidP="00640A8D">
      <w:pPr>
        <w:spacing w:line="276" w:lineRule="auto"/>
        <w:jc w:val="both"/>
        <w:rPr>
          <w:rFonts w:ascii="Gill Sans MT" w:hAnsi="Gill Sans MT" w:cs="Times New Roman"/>
          <w:sz w:val="24"/>
        </w:rPr>
      </w:pPr>
      <w:r w:rsidRPr="00640A8D">
        <w:rPr>
          <w:rFonts w:ascii="Gill Sans MT" w:hAnsi="Gill Sans MT" w:cs="Times New Roman"/>
          <w:sz w:val="24"/>
        </w:rPr>
        <w:t>In addition to the main guidelines, the following topic-specific guidelines are considered fully adopted. Applicants are advised to consult the respective Questions and Answers for further clarity</w:t>
      </w:r>
    </w:p>
    <w:p w14:paraId="59FF5218"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Q1A(R2) Stability Testing of New Drug Substances and Products</w:t>
      </w:r>
    </w:p>
    <w:p w14:paraId="32FD44CD" w14:textId="77777777" w:rsidR="00B62507" w:rsidRPr="00640A8D" w:rsidRDefault="00B62507" w:rsidP="00640A8D">
      <w:pPr>
        <w:spacing w:after="0" w:line="276" w:lineRule="auto"/>
        <w:ind w:firstLine="360"/>
        <w:jc w:val="both"/>
        <w:rPr>
          <w:rFonts w:ascii="Gill Sans MT" w:hAnsi="Gill Sans MT" w:cs="Times New Roman"/>
          <w:sz w:val="24"/>
        </w:rPr>
      </w:pPr>
      <w:hyperlink r:id="rId14"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39453D65"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Q1B Stability Testing: Photostability Testing of New Drug Substances and Products</w:t>
      </w:r>
    </w:p>
    <w:p w14:paraId="30512C20" w14:textId="77777777" w:rsidR="00B62507" w:rsidRPr="00640A8D" w:rsidRDefault="00B62507" w:rsidP="00640A8D">
      <w:pPr>
        <w:spacing w:after="0" w:line="276" w:lineRule="auto"/>
        <w:ind w:firstLine="360"/>
        <w:jc w:val="both"/>
        <w:rPr>
          <w:rFonts w:ascii="Gill Sans MT" w:hAnsi="Gill Sans MT" w:cs="Times New Roman"/>
          <w:sz w:val="24"/>
        </w:rPr>
      </w:pPr>
      <w:hyperlink r:id="rId15"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351698B3"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 xml:space="preserve">ICH Q1C Stability Testing for New Dosage Forms Annex to the ICH </w:t>
      </w:r>
      <w:proofErr w:type="spellStart"/>
      <w:r w:rsidRPr="00640A8D">
        <w:rPr>
          <w:rFonts w:ascii="Gill Sans MT" w:hAnsi="Gill Sans MT" w:cs="Times New Roman"/>
          <w:sz w:val="24"/>
        </w:rPr>
        <w:t>Harmonised</w:t>
      </w:r>
      <w:proofErr w:type="spellEnd"/>
      <w:r w:rsidRPr="00640A8D">
        <w:rPr>
          <w:rFonts w:ascii="Gill Sans MT" w:hAnsi="Gill Sans MT" w:cs="Times New Roman"/>
          <w:sz w:val="24"/>
        </w:rPr>
        <w:t xml:space="preserve"> Tripartite Guideline on Stability Testing for New Drugs and Products</w:t>
      </w:r>
    </w:p>
    <w:p w14:paraId="3EECD309"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16"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1E68C91A"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Q1D Bracketing and Matrixing Designs for Stability Testing of New Drug Substances and Products</w:t>
      </w:r>
    </w:p>
    <w:p w14:paraId="34F7B334"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17"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1DA293AE"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Q1E Evaluation for Stability Data</w:t>
      </w:r>
    </w:p>
    <w:p w14:paraId="01084020" w14:textId="77777777" w:rsidR="00B62507" w:rsidRPr="00640A8D" w:rsidRDefault="00B62507" w:rsidP="00640A8D">
      <w:pPr>
        <w:spacing w:after="0" w:line="276" w:lineRule="auto"/>
        <w:ind w:firstLine="360"/>
        <w:jc w:val="both"/>
        <w:rPr>
          <w:rFonts w:ascii="Gill Sans MT" w:hAnsi="Gill Sans MT" w:cs="Times New Roman"/>
          <w:sz w:val="24"/>
        </w:rPr>
      </w:pPr>
      <w:hyperlink r:id="rId18"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3490AACC"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Q1 Stability Testing of Drug Substances and Drug Products</w:t>
      </w:r>
    </w:p>
    <w:p w14:paraId="2CF51D2B"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19"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526CBD6B"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 xml:space="preserve">TRS 953 - Annex 2, Appendix 1: Stability testing of active pharmaceutical ingredients and finished pharmaceutical products: Stability conditions for WHO Member States by Region </w:t>
      </w:r>
    </w:p>
    <w:p w14:paraId="30AB9C4F" w14:textId="77777777" w:rsidR="00B62507" w:rsidRPr="00640A8D" w:rsidRDefault="00B62507" w:rsidP="00640A8D">
      <w:pPr>
        <w:spacing w:after="0" w:line="276" w:lineRule="auto"/>
        <w:ind w:firstLine="360"/>
        <w:jc w:val="both"/>
        <w:rPr>
          <w:rFonts w:ascii="Gill Sans MT" w:hAnsi="Gill Sans MT" w:cs="Times New Roman"/>
          <w:sz w:val="24"/>
        </w:rPr>
      </w:pPr>
      <w:hyperlink r:id="rId20" w:history="1">
        <w:r w:rsidRPr="00640A8D">
          <w:rPr>
            <w:rStyle w:val="Hyperlink"/>
            <w:rFonts w:ascii="Gill Sans MT" w:hAnsi="Gill Sans MT" w:cs="Times New Roman"/>
            <w:sz w:val="24"/>
          </w:rPr>
          <w:t>https://www.who.int/publications/m/item/trs953-annex2-appendix1</w:t>
        </w:r>
      </w:hyperlink>
      <w:r w:rsidRPr="00640A8D">
        <w:rPr>
          <w:rFonts w:ascii="Gill Sans MT" w:hAnsi="Gill Sans MT" w:cs="Times New Roman"/>
          <w:sz w:val="24"/>
        </w:rPr>
        <w:t xml:space="preserve">  </w:t>
      </w:r>
    </w:p>
    <w:p w14:paraId="42984A2E"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Q14 Analytical Method Development</w:t>
      </w:r>
    </w:p>
    <w:p w14:paraId="6762AB7D" w14:textId="77777777" w:rsidR="00B62507" w:rsidRPr="00640A8D" w:rsidRDefault="00B62507" w:rsidP="00640A8D">
      <w:pPr>
        <w:spacing w:after="0" w:line="276" w:lineRule="auto"/>
        <w:ind w:firstLine="360"/>
        <w:jc w:val="both"/>
        <w:rPr>
          <w:rFonts w:ascii="Gill Sans MT" w:hAnsi="Gill Sans MT" w:cs="Times New Roman"/>
          <w:sz w:val="24"/>
        </w:rPr>
      </w:pPr>
      <w:hyperlink r:id="rId21"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4F59C003"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Q2(R2) Validation of Analytical Procedures</w:t>
      </w:r>
    </w:p>
    <w:p w14:paraId="4128189E" w14:textId="77777777" w:rsidR="00B62507" w:rsidRPr="00640A8D" w:rsidRDefault="00B62507" w:rsidP="00640A8D">
      <w:pPr>
        <w:spacing w:after="0" w:line="276" w:lineRule="auto"/>
        <w:ind w:firstLine="360"/>
        <w:jc w:val="both"/>
        <w:rPr>
          <w:rFonts w:ascii="Gill Sans MT" w:hAnsi="Gill Sans MT" w:cs="Times New Roman"/>
          <w:sz w:val="24"/>
        </w:rPr>
      </w:pPr>
      <w:hyperlink r:id="rId22"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3A4543F5"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Q3A(R2) Impurities in New Drug Substances</w:t>
      </w:r>
    </w:p>
    <w:p w14:paraId="0E4CF0B0"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23"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38BA4BE2"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Q3B(R2) Impurities in New Drug Products</w:t>
      </w:r>
    </w:p>
    <w:p w14:paraId="5DFDDC90" w14:textId="77777777" w:rsidR="00B62507" w:rsidRPr="00640A8D" w:rsidRDefault="00B62507" w:rsidP="00640A8D">
      <w:pPr>
        <w:spacing w:after="0" w:line="276" w:lineRule="auto"/>
        <w:ind w:firstLine="360"/>
        <w:jc w:val="both"/>
        <w:rPr>
          <w:rFonts w:ascii="Gill Sans MT" w:hAnsi="Gill Sans MT" w:cs="Times New Roman"/>
          <w:sz w:val="24"/>
        </w:rPr>
      </w:pPr>
      <w:hyperlink r:id="rId24"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6F037ABE"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Q3C(R9) Impurities: Guideline for Residual Solvents</w:t>
      </w:r>
    </w:p>
    <w:p w14:paraId="7388C395" w14:textId="77777777" w:rsidR="00B62507" w:rsidRPr="00640A8D" w:rsidRDefault="00B62507" w:rsidP="00640A8D">
      <w:pPr>
        <w:spacing w:after="0" w:line="276" w:lineRule="auto"/>
        <w:ind w:firstLine="360"/>
        <w:jc w:val="both"/>
        <w:rPr>
          <w:rFonts w:ascii="Gill Sans MT" w:hAnsi="Gill Sans MT" w:cs="Times New Roman"/>
          <w:sz w:val="24"/>
        </w:rPr>
      </w:pPr>
      <w:hyperlink r:id="rId25"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60C40F02"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Q3D(R2) Guideline for Elemental Impurities</w:t>
      </w:r>
    </w:p>
    <w:p w14:paraId="5C809E82" w14:textId="77777777" w:rsidR="00B62507" w:rsidRPr="00640A8D" w:rsidRDefault="00B62507" w:rsidP="00640A8D">
      <w:pPr>
        <w:spacing w:after="0" w:line="276" w:lineRule="auto"/>
        <w:ind w:firstLine="360"/>
        <w:jc w:val="both"/>
        <w:rPr>
          <w:rFonts w:ascii="Gill Sans MT" w:hAnsi="Gill Sans MT" w:cs="Times New Roman"/>
          <w:sz w:val="24"/>
        </w:rPr>
      </w:pPr>
      <w:hyperlink r:id="rId26"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4D4DD8D0"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lastRenderedPageBreak/>
        <w:t>ICH Q3E Guideline for Extractables and Leachables (Draft)</w:t>
      </w:r>
    </w:p>
    <w:p w14:paraId="3E837981" w14:textId="77777777" w:rsidR="00B62507" w:rsidRPr="00640A8D" w:rsidRDefault="00B62507" w:rsidP="00640A8D">
      <w:pPr>
        <w:spacing w:after="0" w:line="276" w:lineRule="auto"/>
        <w:ind w:firstLine="360"/>
        <w:jc w:val="both"/>
        <w:rPr>
          <w:rFonts w:ascii="Gill Sans MT" w:hAnsi="Gill Sans MT" w:cs="Times New Roman"/>
          <w:sz w:val="24"/>
        </w:rPr>
      </w:pPr>
      <w:hyperlink r:id="rId27"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54D930D0"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EMA Guideline on setting specifications for related impurities in antibiotics</w:t>
      </w:r>
    </w:p>
    <w:p w14:paraId="2B328B6F"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28" w:history="1">
        <w:r w:rsidRPr="00640A8D">
          <w:rPr>
            <w:rStyle w:val="Hyperlink"/>
            <w:rFonts w:ascii="Gill Sans MT" w:hAnsi="Gill Sans MT" w:cs="Times New Roman"/>
            <w:sz w:val="24"/>
          </w:rPr>
          <w:t>https://www.ema.europa.eu/en/setting-specifications-related-impurities-antibiotics-scientific-guideline</w:t>
        </w:r>
      </w:hyperlink>
      <w:r w:rsidRPr="00640A8D">
        <w:rPr>
          <w:rFonts w:ascii="Gill Sans MT" w:hAnsi="Gill Sans MT" w:cs="Times New Roman"/>
          <w:sz w:val="24"/>
        </w:rPr>
        <w:t xml:space="preserve">  </w:t>
      </w:r>
    </w:p>
    <w:p w14:paraId="4D1BDC11"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M7 Assessment and control of DNA reactive (mutagenic) impurities in pharmaceuticals to limit potential carcinogenic risk - Scientific guideline</w:t>
      </w:r>
    </w:p>
    <w:p w14:paraId="40D6619A"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29" w:history="1">
        <w:r w:rsidRPr="00640A8D">
          <w:rPr>
            <w:rStyle w:val="Hyperlink"/>
            <w:rFonts w:ascii="Gill Sans MT" w:hAnsi="Gill Sans MT" w:cs="Times New Roman"/>
            <w:sz w:val="24"/>
          </w:rPr>
          <w:t>https://www.ema.europa.eu/en/ich-m7-assessment-control-dna-reactive-mutagenic-impurities-pharmaceuticals-limit-potential-carcinogenic-risk-scientific-guideline</w:t>
        </w:r>
      </w:hyperlink>
      <w:r w:rsidRPr="00640A8D">
        <w:rPr>
          <w:rFonts w:ascii="Gill Sans MT" w:hAnsi="Gill Sans MT" w:cs="Times New Roman"/>
          <w:sz w:val="24"/>
        </w:rPr>
        <w:t xml:space="preserve"> </w:t>
      </w:r>
    </w:p>
    <w:p w14:paraId="7B6B1A39"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Q5A(R2) Viral Safety Evaluation of Biotechnology Products Derived from Cell Lines of Human or Animal Origin</w:t>
      </w:r>
    </w:p>
    <w:p w14:paraId="56D9EF45"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30"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01BD1FEF"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Q5B Quality of Biotechnological Products: Analysis of the Expression Construct in Cells Used for Production of r-DNA Derived Protein Products</w:t>
      </w:r>
    </w:p>
    <w:p w14:paraId="4F7EBC96"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31"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4C159924"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Q5C Quality of Biotechnological Products: Stability Testing of Biotechnological/ Biological Products</w:t>
      </w:r>
    </w:p>
    <w:p w14:paraId="73A0D1F7"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32"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7BA3F367"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 xml:space="preserve">ICH Q5D Derivation and </w:t>
      </w:r>
      <w:proofErr w:type="spellStart"/>
      <w:r w:rsidRPr="00640A8D">
        <w:rPr>
          <w:rFonts w:ascii="Gill Sans MT" w:hAnsi="Gill Sans MT" w:cs="Times New Roman"/>
          <w:sz w:val="24"/>
        </w:rPr>
        <w:t>Characterisation</w:t>
      </w:r>
      <w:proofErr w:type="spellEnd"/>
      <w:r w:rsidRPr="00640A8D">
        <w:rPr>
          <w:rFonts w:ascii="Gill Sans MT" w:hAnsi="Gill Sans MT" w:cs="Times New Roman"/>
          <w:sz w:val="24"/>
        </w:rPr>
        <w:t xml:space="preserve"> of Cell Substrates Used for the Production of Biotechnological/Biological Products</w:t>
      </w:r>
    </w:p>
    <w:p w14:paraId="5BBDAE3A"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33"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16D1D1FF"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Q5E Comparability of Biotechnological/Biological Products Subject to Changes in Their Manufacturing Process</w:t>
      </w:r>
    </w:p>
    <w:p w14:paraId="0A71DED5"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34"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4D7E57E3"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Q6A Specifications: Test Procedures and Acceptance Criteria for New Drug Substances and New Drug Products: Chemical Substances</w:t>
      </w:r>
    </w:p>
    <w:p w14:paraId="02FE7663"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35"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77105C0C"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Q6B Specifications: Test Procedures and Acceptance Criteria for Biotechnological/Biological Products</w:t>
      </w:r>
    </w:p>
    <w:p w14:paraId="49A83F62"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36"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5694694B"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EMA Guideline on setting specifications for related impurities in antibiotics</w:t>
      </w:r>
    </w:p>
    <w:p w14:paraId="16984228"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37" w:history="1">
        <w:r w:rsidRPr="00640A8D">
          <w:rPr>
            <w:rStyle w:val="Hyperlink"/>
            <w:rFonts w:ascii="Gill Sans MT" w:hAnsi="Gill Sans MT" w:cs="Times New Roman"/>
            <w:sz w:val="24"/>
          </w:rPr>
          <w:t>https://www.ema.europa.eu/en/documents/scientific-guideline/adopted-guideline-setting-specifications-related-impurities-antibiotics_en.pdf</w:t>
        </w:r>
      </w:hyperlink>
      <w:r w:rsidRPr="00640A8D">
        <w:rPr>
          <w:rFonts w:ascii="Gill Sans MT" w:hAnsi="Gill Sans MT" w:cs="Times New Roman"/>
          <w:sz w:val="24"/>
        </w:rPr>
        <w:t xml:space="preserve">  </w:t>
      </w:r>
    </w:p>
    <w:p w14:paraId="6A2EBF30"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EMA Reflection paper on the dissolution specification for generic solid oral immediate release products with systemic action</w:t>
      </w:r>
    </w:p>
    <w:p w14:paraId="1E69794B"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38" w:history="1">
        <w:r w:rsidRPr="00640A8D">
          <w:rPr>
            <w:rStyle w:val="Hyperlink"/>
            <w:rFonts w:ascii="Gill Sans MT" w:hAnsi="Gill Sans MT" w:cs="Times New Roman"/>
            <w:sz w:val="24"/>
          </w:rPr>
          <w:t>https://www.ema.europa.eu/en/dissolution-specification-generic-oral-immediate-release-products-scientific-guideline</w:t>
        </w:r>
      </w:hyperlink>
      <w:r w:rsidRPr="00640A8D">
        <w:rPr>
          <w:rFonts w:ascii="Gill Sans MT" w:hAnsi="Gill Sans MT" w:cs="Times New Roman"/>
          <w:sz w:val="24"/>
        </w:rPr>
        <w:t xml:space="preserve">  </w:t>
      </w:r>
    </w:p>
    <w:p w14:paraId="4F5EF874"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Q7 Good Manufacturing Practice</w:t>
      </w:r>
    </w:p>
    <w:p w14:paraId="096E5B8D"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39"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69BAE8CB"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TRS 986 - Annex 2: WHO good manufacturing practices for pharmaceutical products: Main principles Annex 2, WHO Technical Report Series 986, 2014</w:t>
      </w:r>
    </w:p>
    <w:p w14:paraId="428192E8"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40" w:history="1">
        <w:r w:rsidRPr="00640A8D">
          <w:rPr>
            <w:rStyle w:val="Hyperlink"/>
            <w:rFonts w:ascii="Gill Sans MT" w:hAnsi="Gill Sans MT" w:cs="Times New Roman"/>
            <w:sz w:val="24"/>
          </w:rPr>
          <w:t>https://www.who.int/publications/m/item/trs986-annex2</w:t>
        </w:r>
      </w:hyperlink>
      <w:r w:rsidRPr="00640A8D">
        <w:rPr>
          <w:rFonts w:ascii="Gill Sans MT" w:hAnsi="Gill Sans MT" w:cs="Times New Roman"/>
          <w:sz w:val="24"/>
        </w:rPr>
        <w:t xml:space="preserve">  </w:t>
      </w:r>
    </w:p>
    <w:p w14:paraId="7FED9BFA"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lastRenderedPageBreak/>
        <w:t xml:space="preserve">TRS 970 - Annex 3: Pharmaceutical development of multisource (generic) finished pharmaceutical products: points to consider </w:t>
      </w:r>
      <w:hyperlink r:id="rId41" w:history="1">
        <w:r w:rsidRPr="00640A8D">
          <w:rPr>
            <w:rStyle w:val="Hyperlink"/>
            <w:rFonts w:ascii="Gill Sans MT" w:hAnsi="Gill Sans MT" w:cs="Times New Roman"/>
            <w:sz w:val="24"/>
          </w:rPr>
          <w:t>https://www.who.int/publications/m/item/pharmaceutical-development-of-multisource-(generic)</w:t>
        </w:r>
      </w:hyperlink>
      <w:r w:rsidRPr="00640A8D">
        <w:rPr>
          <w:rFonts w:ascii="Gill Sans MT" w:hAnsi="Gill Sans MT" w:cs="Times New Roman"/>
          <w:sz w:val="24"/>
        </w:rPr>
        <w:t xml:space="preserve">  </w:t>
      </w:r>
    </w:p>
    <w:p w14:paraId="5985D3E2" w14:textId="77777777" w:rsidR="00B62507" w:rsidRPr="00640A8D" w:rsidRDefault="00B62507" w:rsidP="00640A8D">
      <w:pPr>
        <w:pStyle w:val="ListParagraph"/>
        <w:numPr>
          <w:ilvl w:val="0"/>
          <w:numId w:val="25"/>
        </w:numPr>
        <w:spacing w:after="0" w:line="276" w:lineRule="auto"/>
        <w:jc w:val="both"/>
        <w:rPr>
          <w:rFonts w:ascii="Gill Sans MT" w:hAnsi="Gill Sans MT" w:cs="Times New Roman"/>
          <w:sz w:val="24"/>
        </w:rPr>
      </w:pPr>
      <w:r w:rsidRPr="00640A8D">
        <w:rPr>
          <w:rFonts w:ascii="Gill Sans MT" w:hAnsi="Gill Sans MT" w:cs="Times New Roman"/>
          <w:sz w:val="24"/>
        </w:rPr>
        <w:t>ICH Q11 Development and Manufacture of Drug Substances</w:t>
      </w:r>
    </w:p>
    <w:p w14:paraId="7E1E6DEC" w14:textId="77777777" w:rsidR="00B62507" w:rsidRPr="00640A8D" w:rsidRDefault="00B62507" w:rsidP="00640A8D">
      <w:pPr>
        <w:pStyle w:val="ListParagraph"/>
        <w:spacing w:after="0" w:line="276" w:lineRule="auto"/>
        <w:ind w:left="360"/>
        <w:jc w:val="both"/>
        <w:rPr>
          <w:rFonts w:ascii="Gill Sans MT" w:hAnsi="Gill Sans MT" w:cs="Times New Roman"/>
          <w:sz w:val="24"/>
        </w:rPr>
      </w:pPr>
      <w:hyperlink r:id="rId42" w:history="1">
        <w:r w:rsidRPr="00640A8D">
          <w:rPr>
            <w:rStyle w:val="Hyperlink"/>
            <w:rFonts w:ascii="Gill Sans MT" w:hAnsi="Gill Sans MT" w:cs="Times New Roman"/>
            <w:sz w:val="24"/>
          </w:rPr>
          <w:t>https://www.ich.org/page/quality-guidelines</w:t>
        </w:r>
      </w:hyperlink>
      <w:r w:rsidRPr="00640A8D">
        <w:rPr>
          <w:rFonts w:ascii="Gill Sans MT" w:hAnsi="Gill Sans MT" w:cs="Times New Roman"/>
          <w:sz w:val="24"/>
        </w:rPr>
        <w:t xml:space="preserve">  </w:t>
      </w:r>
    </w:p>
    <w:p w14:paraId="706BFB5B" w14:textId="77777777" w:rsidR="00B62507" w:rsidRPr="00640A8D" w:rsidRDefault="00B62507" w:rsidP="00640A8D">
      <w:pPr>
        <w:pStyle w:val="ListParagraph"/>
        <w:spacing w:after="0" w:line="276" w:lineRule="auto"/>
        <w:ind w:left="0"/>
        <w:jc w:val="both"/>
        <w:rPr>
          <w:rFonts w:ascii="Gill Sans MT" w:hAnsi="Gill Sans MT"/>
          <w:sz w:val="24"/>
        </w:rPr>
      </w:pPr>
    </w:p>
    <w:p w14:paraId="67BEB37A" w14:textId="5C833042" w:rsidR="00B62507" w:rsidRPr="001246B1" w:rsidDel="00EE2519" w:rsidRDefault="00B62507" w:rsidP="001246B1">
      <w:pPr>
        <w:spacing w:after="160" w:line="276" w:lineRule="auto"/>
        <w:ind w:left="0" w:firstLine="0"/>
        <w:jc w:val="both"/>
        <w:rPr>
          <w:rFonts w:ascii="Gill Sans MT" w:hAnsi="Gill Sans MT" w:cs="Times New Roman"/>
          <w:color w:val="auto"/>
          <w:sz w:val="24"/>
        </w:rPr>
        <w:sectPr w:rsidR="00B62507" w:rsidRPr="001246B1" w:rsidDel="00EE2519" w:rsidSect="003C381A">
          <w:headerReference w:type="default" r:id="rId43"/>
          <w:footerReference w:type="even" r:id="rId44"/>
          <w:footerReference w:type="default" r:id="rId45"/>
          <w:headerReference w:type="first" r:id="rId46"/>
          <w:footerReference w:type="first" r:id="rId47"/>
          <w:pgSz w:w="11906" w:h="16838"/>
          <w:pgMar w:top="283" w:right="1253" w:bottom="180" w:left="1235" w:header="720" w:footer="720" w:gutter="0"/>
          <w:lnNumType w:countBy="1" w:restart="continuous"/>
          <w:cols w:space="720"/>
          <w:titlePg/>
          <w:docGrid w:linePitch="245"/>
        </w:sectPr>
      </w:pPr>
    </w:p>
    <w:p w14:paraId="5077801A" w14:textId="0C36BF2A" w:rsidR="008B12DF" w:rsidRPr="001246B1" w:rsidRDefault="008B12DF" w:rsidP="001246B1">
      <w:pPr>
        <w:spacing w:after="216" w:line="276" w:lineRule="auto"/>
        <w:ind w:left="-3" w:firstLine="0"/>
        <w:rPr>
          <w:rFonts w:ascii="Gill Sans MT" w:hAnsi="Gill Sans MT" w:cs="Times New Roman"/>
          <w:sz w:val="24"/>
        </w:rPr>
      </w:pPr>
    </w:p>
    <w:sectPr w:rsidR="008B12DF" w:rsidRPr="001246B1" w:rsidSect="003C381A">
      <w:headerReference w:type="default" r:id="rId48"/>
      <w:footerReference w:type="even" r:id="rId49"/>
      <w:footerReference w:type="default" r:id="rId50"/>
      <w:headerReference w:type="first" r:id="rId51"/>
      <w:footerReference w:type="first" r:id="rId52"/>
      <w:pgSz w:w="11906" w:h="16838"/>
      <w:pgMar w:top="1462" w:right="1259" w:bottom="1420" w:left="1237"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9C810" w14:textId="77777777" w:rsidR="00F845BB" w:rsidRDefault="00F845BB">
      <w:pPr>
        <w:spacing w:after="0" w:line="240" w:lineRule="auto"/>
      </w:pPr>
      <w:r>
        <w:separator/>
      </w:r>
    </w:p>
  </w:endnote>
  <w:endnote w:type="continuationSeparator" w:id="0">
    <w:p w14:paraId="2CB927B3" w14:textId="77777777" w:rsidR="00F845BB" w:rsidRDefault="00F84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altName w:val="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774E"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36EE5A7" wp14:editId="15F92EB6">
              <wp:simplePos x="0" y="0"/>
              <wp:positionH relativeFrom="page">
                <wp:posOffset>791718</wp:posOffset>
              </wp:positionH>
              <wp:positionV relativeFrom="page">
                <wp:posOffset>9801619</wp:posOffset>
              </wp:positionV>
              <wp:extent cx="5976354" cy="3035"/>
              <wp:effectExtent l="0" t="0" r="0" b="0"/>
              <wp:wrapSquare wrapText="bothSides"/>
              <wp:docPr id="23997" name="Group 2399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9" name="Shape 25039"/>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39B0FC28">
            <v:group id="Group 23997" style="position:absolute;margin-left:62.35pt;margin-top:771.8pt;width:470.6pt;height:.25pt;z-index:251658240;mso-position-horizontal-relative:page;mso-position-vertical-relative:page" coordsize="59763,30" o:spid="_x0000_s1026" w14:anchorId="454372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tGTTcW8CAAAvBgAADgAAAAAA&#10;AAAAAAAAAAAuAgAAZHJzL2Uyb0RvYy54bWxQSwECLQAUAAYACAAAACEACoyznOMAAAAOAQAADwAA&#10;AAAAAAAAAAAAAADJBAAAZHJzL2Rvd25yZXYueG1sUEsFBgAAAAAEAAQA8wAAANkFAAAAAA==&#10;">
              <v:shape id="Shape 25039"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">
                <v:stroke miterlimit="83231f" joinstyle="miter"/>
                <v:path textboxrect="0,0,5976354,9144" arrowok="t"/>
              </v:shape>
              <w10:wrap type="square" anchorx="page" anchory="page"/>
            </v:group>
          </w:pict>
        </mc:Fallback>
      </mc:AlternateContent>
    </w:r>
    <w:r>
      <w:rPr>
        <w:color w:val="6D6F71"/>
        <w:sz w:val="14"/>
      </w:rPr>
      <w:t xml:space="preserve"> </w:t>
    </w:r>
  </w:p>
  <w:p w14:paraId="5DB7AFE5" w14:textId="77777777" w:rsidR="008B12DF" w:rsidRDefault="00070A85">
    <w:pPr>
      <w:spacing w:after="2" w:line="259" w:lineRule="auto"/>
      <w:ind w:left="12" w:firstLine="0"/>
    </w:pPr>
    <w:r>
      <w:rPr>
        <w:color w:val="6D6F71"/>
        <w:sz w:val="14"/>
      </w:rPr>
      <w:t xml:space="preserve">ICH M13A Guideline on bioequivalence for immediate-release solid oral dosage forms   </w:t>
    </w:r>
  </w:p>
  <w:p w14:paraId="6AE3C5BF" w14:textId="77777777" w:rsidR="008B12DF" w:rsidRDefault="00070A85">
    <w:pPr>
      <w:tabs>
        <w:tab w:val="right" w:pos="9418"/>
      </w:tabs>
      <w:spacing w:after="0" w:line="259" w:lineRule="auto"/>
      <w:ind w:left="0" w:right="-8"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2</w:t>
    </w:r>
    <w:r>
      <w:rPr>
        <w:sz w:val="14"/>
      </w:rPr>
      <w:fldChar w:fldCharType="end"/>
    </w:r>
    <w:r>
      <w:rPr>
        <w:sz w:val="14"/>
      </w:rPr>
      <w:t>/</w:t>
    </w:r>
    <w:fldSimple w:instr="NUMPAGES   \* MERGEFORMAT">
      <w:r>
        <w:rPr>
          <w:sz w:val="14"/>
        </w:rPr>
        <w:t>22</w:t>
      </w:r>
    </w:fldSimple>
    <w:r>
      <w:rPr>
        <w:sz w:val="14"/>
      </w:rPr>
      <w:t xml:space="preserve"> </w:t>
    </w:r>
  </w:p>
  <w:p w14:paraId="3F261D42" w14:textId="77777777" w:rsidR="008B12DF" w:rsidRDefault="00070A85">
    <w:pPr>
      <w:spacing w:after="0" w:line="259" w:lineRule="auto"/>
      <w:ind w:left="12"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78A7B" w14:textId="77777777" w:rsidR="00640A8D" w:rsidRPr="00640A8D" w:rsidRDefault="00640A8D" w:rsidP="00640A8D">
    <w:pPr>
      <w:spacing w:after="0" w:line="259" w:lineRule="auto"/>
      <w:ind w:left="12" w:firstLine="0"/>
      <w:rPr>
        <w:sz w:val="14"/>
        <w:szCs w:val="14"/>
      </w:rPr>
    </w:pPr>
    <w:r w:rsidRPr="00640A8D">
      <w:rPr>
        <w:rFonts w:ascii="Calibri" w:eastAsia="Calibri" w:hAnsi="Calibri" w:cs="Calibri"/>
        <w:noProof/>
        <w:sz w:val="14"/>
        <w:szCs w:val="14"/>
      </w:rPr>
      <mc:AlternateContent>
        <mc:Choice Requires="wpg">
          <w:drawing>
            <wp:anchor distT="0" distB="0" distL="114300" distR="114300" simplePos="0" relativeHeight="251660292" behindDoc="0" locked="0" layoutInCell="1" allowOverlap="1" wp14:anchorId="5AD67C52" wp14:editId="716C3E9C">
              <wp:simplePos x="0" y="0"/>
              <wp:positionH relativeFrom="page">
                <wp:posOffset>791718</wp:posOffset>
              </wp:positionH>
              <wp:positionV relativeFrom="page">
                <wp:posOffset>9801619</wp:posOffset>
              </wp:positionV>
              <wp:extent cx="5976354" cy="3035"/>
              <wp:effectExtent l="0" t="0" r="0" b="0"/>
              <wp:wrapSquare wrapText="bothSides"/>
              <wp:docPr id="23968" name="Group 23968"/>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7" name="Shape 25037"/>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7F2F1C3" id="Group 23968" o:spid="_x0000_s1026" style="position:absolute;margin-left:62.35pt;margin-top:771.8pt;width:470.6pt;height:.25pt;z-index:251660292;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K6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NJNium8CAAAvBgAADgAAAAAA&#10;AAAAAAAAAAAuAgAAZHJzL2Uyb0RvYy54bWxQSwECLQAUAAYACAAAACEACoyznOMAAAAOAQAADwAA&#10;AAAAAAAAAAAAAADJBAAAZHJzL2Rvd25yZXYueG1sUEsFBgAAAAAEAAQA8wAAANkFAAAAAA==&#10;">
              <v:shape id="Shape 25037"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sidRPr="00640A8D">
      <w:rPr>
        <w:color w:val="6D6F71"/>
        <w:sz w:val="14"/>
        <w:szCs w:val="14"/>
      </w:rPr>
      <w:t xml:space="preserve"> </w:t>
    </w:r>
  </w:p>
  <w:p w14:paraId="6386BA4E" w14:textId="77777777" w:rsidR="00640A8D" w:rsidRPr="00640A8D" w:rsidRDefault="00640A8D" w:rsidP="00640A8D">
    <w:pPr>
      <w:spacing w:after="160" w:line="259" w:lineRule="auto"/>
      <w:ind w:left="0" w:firstLine="0"/>
      <w:rPr>
        <w:color w:val="6D6F71"/>
        <w:sz w:val="14"/>
        <w:szCs w:val="14"/>
      </w:rPr>
    </w:pPr>
    <w:r w:rsidRPr="00640A8D">
      <w:rPr>
        <w:rFonts w:ascii="Times New Roman" w:hAnsi="Times New Roman" w:cs="Times New Roman"/>
        <w:sz w:val="14"/>
        <w:szCs w:val="14"/>
        <w:lang w:val="en-GB"/>
      </w:rPr>
      <w:t>Guidelines o</w:t>
    </w:r>
    <w:r w:rsidRPr="00640A8D">
      <w:rPr>
        <w:rFonts w:ascii="Times New Roman" w:hAnsi="Times New Roman" w:cs="Times New Roman"/>
        <w:sz w:val="14"/>
        <w:szCs w:val="14"/>
        <w:lang w:val="en"/>
      </w:rPr>
      <w:t>n the Submission of Applications for Registration in Common Technical Document Format: Quality</w:t>
    </w:r>
    <w:r w:rsidR="00070A85" w:rsidRPr="00640A8D">
      <w:rPr>
        <w:color w:val="6D6F71"/>
        <w:sz w:val="14"/>
        <w:szCs w:val="14"/>
      </w:rPr>
      <w:tab/>
    </w:r>
  </w:p>
  <w:p w14:paraId="4C993E4E" w14:textId="680D5BC6" w:rsidR="008B12DF" w:rsidRPr="00640A8D" w:rsidRDefault="4DAD952A" w:rsidP="00640A8D">
    <w:pPr>
      <w:spacing w:after="160" w:line="259" w:lineRule="auto"/>
      <w:ind w:left="0" w:firstLine="0"/>
      <w:jc w:val="right"/>
      <w:rPr>
        <w:sz w:val="14"/>
        <w:szCs w:val="14"/>
      </w:rPr>
    </w:pPr>
    <w:r w:rsidRPr="00640A8D">
      <w:rPr>
        <w:sz w:val="14"/>
        <w:szCs w:val="14"/>
      </w:rPr>
      <w:t>Page</w:t>
    </w:r>
    <w:r w:rsidR="00070A85" w:rsidRPr="00640A8D">
      <w:rPr>
        <w:sz w:val="14"/>
        <w:szCs w:val="14"/>
      </w:rPr>
      <w:t xml:space="preserve"> </w:t>
    </w:r>
    <w:r w:rsidR="00070A85" w:rsidRPr="00640A8D">
      <w:rPr>
        <w:sz w:val="14"/>
        <w:szCs w:val="14"/>
      </w:rPr>
      <w:fldChar w:fldCharType="begin"/>
    </w:r>
    <w:r w:rsidR="00070A85" w:rsidRPr="00640A8D">
      <w:rPr>
        <w:sz w:val="14"/>
        <w:szCs w:val="14"/>
      </w:rPr>
      <w:instrText xml:space="preserve"> PAGE   \* MERGEFORMAT </w:instrText>
    </w:r>
    <w:r w:rsidR="00070A85" w:rsidRPr="00640A8D">
      <w:rPr>
        <w:sz w:val="14"/>
        <w:szCs w:val="14"/>
      </w:rPr>
      <w:fldChar w:fldCharType="separate"/>
    </w:r>
    <w:r w:rsidR="00070A85" w:rsidRPr="00640A8D">
      <w:rPr>
        <w:sz w:val="14"/>
        <w:szCs w:val="14"/>
      </w:rPr>
      <w:t>2</w:t>
    </w:r>
    <w:r w:rsidR="00070A85" w:rsidRPr="00640A8D">
      <w:rPr>
        <w:sz w:val="14"/>
        <w:szCs w:val="14"/>
      </w:rPr>
      <w:fldChar w:fldCharType="end"/>
    </w:r>
    <w:r w:rsidR="00070A85" w:rsidRPr="00640A8D">
      <w:rPr>
        <w:sz w:val="14"/>
        <w:szCs w:val="14"/>
      </w:rPr>
      <w:t>/</w:t>
    </w:r>
    <w:r w:rsidR="00070A85" w:rsidRPr="00640A8D">
      <w:rPr>
        <w:sz w:val="14"/>
        <w:szCs w:val="14"/>
      </w:rPr>
      <w:fldChar w:fldCharType="begin"/>
    </w:r>
    <w:r w:rsidR="00070A85" w:rsidRPr="00640A8D">
      <w:rPr>
        <w:sz w:val="14"/>
        <w:szCs w:val="14"/>
      </w:rPr>
      <w:instrText xml:space="preserve"> NUMPAGES   \* MERGEFORMAT </w:instrText>
    </w:r>
    <w:r w:rsidR="00070A85" w:rsidRPr="00640A8D">
      <w:rPr>
        <w:sz w:val="14"/>
        <w:szCs w:val="14"/>
      </w:rPr>
      <w:fldChar w:fldCharType="separate"/>
    </w:r>
    <w:r w:rsidR="00070A85" w:rsidRPr="00640A8D">
      <w:rPr>
        <w:sz w:val="14"/>
        <w:szCs w:val="14"/>
      </w:rPr>
      <w:t>22</w:t>
    </w:r>
    <w:r w:rsidR="00070A85" w:rsidRPr="00640A8D">
      <w:rPr>
        <w:sz w:val="14"/>
        <w:szCs w:val="14"/>
      </w:rPr>
      <w:fldChar w:fldCharType="end"/>
    </w:r>
    <w:r w:rsidR="00070A85" w:rsidRPr="00640A8D">
      <w:rPr>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3CCA" w14:textId="58A96533" w:rsidR="008B12DF" w:rsidRPr="00C01D35" w:rsidRDefault="00C01D35">
    <w:pPr>
      <w:spacing w:after="160" w:line="259" w:lineRule="auto"/>
      <w:ind w:left="0" w:firstLine="0"/>
      <w:rPr>
        <w:sz w:val="22"/>
        <w:szCs w:val="22"/>
      </w:rPr>
    </w:pPr>
    <w:r w:rsidRPr="00C01D35">
      <w:rPr>
        <w:rFonts w:ascii="Times New Roman" w:hAnsi="Times New Roman" w:cs="Times New Roman"/>
        <w:sz w:val="22"/>
        <w:szCs w:val="22"/>
        <w:lang w:val="en-GB"/>
      </w:rPr>
      <w:t>Guideline</w:t>
    </w:r>
    <w:r w:rsidR="002A658C">
      <w:rPr>
        <w:rFonts w:ascii="Times New Roman" w:hAnsi="Times New Roman" w:cs="Times New Roman"/>
        <w:sz w:val="22"/>
        <w:szCs w:val="22"/>
        <w:lang w:val="en-GB"/>
      </w:rPr>
      <w:t>s</w:t>
    </w:r>
    <w:r w:rsidRPr="00C01D35">
      <w:rPr>
        <w:rFonts w:ascii="Times New Roman" w:hAnsi="Times New Roman" w:cs="Times New Roman"/>
        <w:sz w:val="22"/>
        <w:szCs w:val="22"/>
        <w:lang w:val="en-GB"/>
      </w:rPr>
      <w:t xml:space="preserve"> o</w:t>
    </w:r>
    <w:r w:rsidRPr="00C01D35">
      <w:rPr>
        <w:rFonts w:ascii="Times New Roman" w:hAnsi="Times New Roman" w:cs="Times New Roman"/>
        <w:sz w:val="22"/>
        <w:szCs w:val="22"/>
        <w:lang w:val="en"/>
      </w:rPr>
      <w:t xml:space="preserve">n </w:t>
    </w:r>
    <w:r w:rsidR="002A658C">
      <w:rPr>
        <w:rFonts w:ascii="Times New Roman" w:hAnsi="Times New Roman" w:cs="Times New Roman"/>
        <w:sz w:val="22"/>
        <w:szCs w:val="22"/>
        <w:lang w:val="en"/>
      </w:rPr>
      <w:t xml:space="preserve">the </w:t>
    </w:r>
    <w:r w:rsidRPr="00C01D35">
      <w:rPr>
        <w:rFonts w:ascii="Times New Roman" w:hAnsi="Times New Roman" w:cs="Times New Roman"/>
        <w:sz w:val="22"/>
        <w:szCs w:val="22"/>
        <w:lang w:val="en"/>
      </w:rPr>
      <w:t>Submission of Applications for Registration in Common Technical Document Format: Quality</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5C65E0E" wp14:editId="726DBE0D">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6BC40FCE">
            <v:group id="Group 24085" style="position:absolute;margin-left:62.35pt;margin-top:771.8pt;width:470.6pt;height:.25pt;z-index:251658242;mso-position-horizontal-relative:page;mso-position-vertical-relative:page" coordsize="59763,30" o:spid="_x0000_s1026" w14:anchorId="0536F1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v:stroke miterlimit="83231f" joinstyle="miter"/>
                <v:path textboxrect="0,0,5976354,9144" arrowok="t"/>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750C3523" wp14:editId="7720E584">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5FA8989C">
            <v:group id="Group 24056" style="position:absolute;margin-left:62.35pt;margin-top:771.8pt;width:470.6pt;height:.25pt;z-index:251658243;mso-position-horizontal-relative:page;mso-position-vertical-relative:page" coordsize="59763,30" o:spid="_x0000_s1026" w14:anchorId="6CA854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2BA60099" w14:textId="71FA158C" w:rsidR="008B12DF" w:rsidRDefault="00003456" w:rsidP="4DAD952A">
    <w:pPr>
      <w:spacing w:after="1" w:line="259" w:lineRule="auto"/>
      <w:ind w:left="10" w:firstLine="0"/>
    </w:pPr>
    <w:r w:rsidRPr="4DAD952A">
      <w:rPr>
        <w:color w:val="6D6F71"/>
        <w:sz w:val="14"/>
        <w:szCs w:val="14"/>
      </w:rPr>
      <w:t xml:space="preserve">                                                                                                                                                     </w:t>
    </w:r>
    <w:r w:rsidR="00070A85">
      <w:tab/>
    </w:r>
    <w:r w:rsidR="00070A85"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10</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p w14:paraId="1A71C51A" w14:textId="77777777" w:rsidR="008B12DF" w:rsidRDefault="00070A85">
    <w:pPr>
      <w:spacing w:after="0" w:line="259" w:lineRule="auto"/>
      <w:ind w:left="10" w:firstLine="0"/>
    </w:pPr>
    <w:r>
      <w:rPr>
        <w:color w:val="6D6F71"/>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1B5F04AD" wp14:editId="4411EF44">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029E6B81">
            <v:group id="Group 24027" style="position:absolute;margin-left:62.35pt;margin-top:771.8pt;width:470.6pt;height:.25pt;z-index:251658244;mso-position-horizontal-relative:page;mso-position-vertical-relative:page" coordsize="59763,30" o:spid="_x0000_s1026" w14:anchorId="74F07D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E5394" w14:textId="77777777" w:rsidR="00F845BB" w:rsidRDefault="00F845BB">
      <w:pPr>
        <w:spacing w:after="0" w:line="240" w:lineRule="auto"/>
      </w:pPr>
      <w:r>
        <w:separator/>
      </w:r>
    </w:p>
  </w:footnote>
  <w:footnote w:type="continuationSeparator" w:id="0">
    <w:p w14:paraId="2C2B11DF" w14:textId="77777777" w:rsidR="00F845BB" w:rsidRDefault="00F84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5"/>
      <w:gridCol w:w="3135"/>
      <w:gridCol w:w="3135"/>
    </w:tblGrid>
    <w:tr w:rsidR="336A5F9D" w14:paraId="21501218" w14:textId="77777777" w:rsidTr="336A5F9D">
      <w:trPr>
        <w:trHeight w:val="300"/>
      </w:trPr>
      <w:tc>
        <w:tcPr>
          <w:tcW w:w="3135" w:type="dxa"/>
        </w:tcPr>
        <w:p w14:paraId="780DDFBA" w14:textId="4B8EEFA7" w:rsidR="336A5F9D" w:rsidRDefault="336A5F9D" w:rsidP="336A5F9D">
          <w:pPr>
            <w:pStyle w:val="Header"/>
            <w:ind w:left="-115"/>
          </w:pPr>
        </w:p>
      </w:tc>
      <w:tc>
        <w:tcPr>
          <w:tcW w:w="3135" w:type="dxa"/>
        </w:tcPr>
        <w:p w14:paraId="6F6C79D6" w14:textId="6F6D70A3" w:rsidR="336A5F9D" w:rsidRDefault="336A5F9D" w:rsidP="336A5F9D">
          <w:pPr>
            <w:pStyle w:val="Header"/>
            <w:jc w:val="center"/>
          </w:pPr>
        </w:p>
      </w:tc>
      <w:tc>
        <w:tcPr>
          <w:tcW w:w="3135" w:type="dxa"/>
        </w:tcPr>
        <w:p w14:paraId="54616313" w14:textId="270BB56D" w:rsidR="336A5F9D" w:rsidRDefault="336A5F9D" w:rsidP="336A5F9D">
          <w:pPr>
            <w:pStyle w:val="Header"/>
            <w:ind w:right="-115"/>
            <w:jc w:val="right"/>
          </w:pPr>
        </w:p>
      </w:tc>
    </w:tr>
  </w:tbl>
  <w:p w14:paraId="68ABD741" w14:textId="29F8EB54" w:rsidR="336A5F9D" w:rsidRDefault="336A5F9D" w:rsidP="336A5F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5"/>
      <w:gridCol w:w="3135"/>
      <w:gridCol w:w="3135"/>
    </w:tblGrid>
    <w:tr w:rsidR="336A5F9D" w14:paraId="2A0D0F2A" w14:textId="77777777" w:rsidTr="336A5F9D">
      <w:trPr>
        <w:trHeight w:val="300"/>
      </w:trPr>
      <w:tc>
        <w:tcPr>
          <w:tcW w:w="3135" w:type="dxa"/>
        </w:tcPr>
        <w:p w14:paraId="1D8E1052" w14:textId="1CDBA55B" w:rsidR="336A5F9D" w:rsidRDefault="336A5F9D" w:rsidP="336A5F9D">
          <w:pPr>
            <w:pStyle w:val="Header"/>
            <w:ind w:left="-115"/>
          </w:pPr>
        </w:p>
      </w:tc>
      <w:tc>
        <w:tcPr>
          <w:tcW w:w="3135" w:type="dxa"/>
        </w:tcPr>
        <w:p w14:paraId="5F83D59F" w14:textId="204AA794" w:rsidR="336A5F9D" w:rsidRDefault="336A5F9D" w:rsidP="336A5F9D">
          <w:pPr>
            <w:pStyle w:val="Header"/>
            <w:jc w:val="center"/>
          </w:pPr>
        </w:p>
      </w:tc>
      <w:tc>
        <w:tcPr>
          <w:tcW w:w="3135" w:type="dxa"/>
        </w:tcPr>
        <w:p w14:paraId="444A666E" w14:textId="28D434F2" w:rsidR="336A5F9D" w:rsidRDefault="336A5F9D" w:rsidP="336A5F9D">
          <w:pPr>
            <w:pStyle w:val="Header"/>
            <w:ind w:right="-115"/>
            <w:jc w:val="right"/>
          </w:pPr>
        </w:p>
      </w:tc>
    </w:tr>
  </w:tbl>
  <w:p w14:paraId="077C2F50" w14:textId="23827FFC" w:rsidR="336A5F9D" w:rsidRDefault="336A5F9D" w:rsidP="336A5F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5"/>
      <w:gridCol w:w="3135"/>
      <w:gridCol w:w="3135"/>
    </w:tblGrid>
    <w:tr w:rsidR="336A5F9D" w14:paraId="3AE8A711" w14:textId="77777777" w:rsidTr="336A5F9D">
      <w:trPr>
        <w:trHeight w:val="300"/>
      </w:trPr>
      <w:tc>
        <w:tcPr>
          <w:tcW w:w="3135" w:type="dxa"/>
        </w:tcPr>
        <w:p w14:paraId="57B8EA62" w14:textId="04A223A8" w:rsidR="336A5F9D" w:rsidRDefault="336A5F9D" w:rsidP="336A5F9D">
          <w:pPr>
            <w:pStyle w:val="Header"/>
            <w:ind w:left="-115"/>
          </w:pPr>
        </w:p>
      </w:tc>
      <w:tc>
        <w:tcPr>
          <w:tcW w:w="3135" w:type="dxa"/>
        </w:tcPr>
        <w:p w14:paraId="0520A493" w14:textId="0AA154D3" w:rsidR="336A5F9D" w:rsidRDefault="336A5F9D" w:rsidP="336A5F9D">
          <w:pPr>
            <w:pStyle w:val="Header"/>
            <w:jc w:val="center"/>
          </w:pPr>
        </w:p>
      </w:tc>
      <w:tc>
        <w:tcPr>
          <w:tcW w:w="3135" w:type="dxa"/>
        </w:tcPr>
        <w:p w14:paraId="2518F72B" w14:textId="19019D1F" w:rsidR="336A5F9D" w:rsidRDefault="336A5F9D" w:rsidP="336A5F9D">
          <w:pPr>
            <w:pStyle w:val="Header"/>
            <w:ind w:right="-115"/>
            <w:jc w:val="right"/>
          </w:pPr>
        </w:p>
      </w:tc>
    </w:tr>
  </w:tbl>
  <w:p w14:paraId="10A1B2AE" w14:textId="0191815B" w:rsidR="336A5F9D" w:rsidRDefault="336A5F9D" w:rsidP="336A5F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5"/>
      <w:gridCol w:w="3135"/>
      <w:gridCol w:w="3135"/>
    </w:tblGrid>
    <w:tr w:rsidR="336A5F9D" w14:paraId="681832EE" w14:textId="77777777" w:rsidTr="336A5F9D">
      <w:trPr>
        <w:trHeight w:val="300"/>
      </w:trPr>
      <w:tc>
        <w:tcPr>
          <w:tcW w:w="3135" w:type="dxa"/>
        </w:tcPr>
        <w:p w14:paraId="5EB3CC42" w14:textId="04A45EBC" w:rsidR="336A5F9D" w:rsidRDefault="336A5F9D" w:rsidP="336A5F9D">
          <w:pPr>
            <w:pStyle w:val="Header"/>
            <w:ind w:left="-115"/>
          </w:pPr>
        </w:p>
      </w:tc>
      <w:tc>
        <w:tcPr>
          <w:tcW w:w="3135" w:type="dxa"/>
        </w:tcPr>
        <w:p w14:paraId="1F24E4F0" w14:textId="1130F911" w:rsidR="336A5F9D" w:rsidRDefault="336A5F9D" w:rsidP="336A5F9D">
          <w:pPr>
            <w:pStyle w:val="Header"/>
            <w:jc w:val="center"/>
          </w:pPr>
        </w:p>
      </w:tc>
      <w:tc>
        <w:tcPr>
          <w:tcW w:w="3135" w:type="dxa"/>
        </w:tcPr>
        <w:p w14:paraId="70472699" w14:textId="246718DE" w:rsidR="336A5F9D" w:rsidRDefault="336A5F9D" w:rsidP="336A5F9D">
          <w:pPr>
            <w:pStyle w:val="Header"/>
            <w:ind w:right="-115"/>
            <w:jc w:val="right"/>
          </w:pPr>
        </w:p>
      </w:tc>
    </w:tr>
  </w:tbl>
  <w:p w14:paraId="6E6B46EC" w14:textId="4017F2FD" w:rsidR="336A5F9D" w:rsidRDefault="336A5F9D" w:rsidP="336A5F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53820"/>
    <w:multiLevelType w:val="hybridMultilevel"/>
    <w:tmpl w:val="CE94821A"/>
    <w:lvl w:ilvl="0" w:tplc="39C24E14">
      <w:start w:val="1"/>
      <w:numFmt w:val="bullet"/>
      <w:lvlText w:val=""/>
      <w:lvlJc w:val="left"/>
      <w:pPr>
        <w:tabs>
          <w:tab w:val="num" w:pos="720"/>
        </w:tabs>
        <w:ind w:left="720" w:hanging="360"/>
      </w:pPr>
      <w:rPr>
        <w:rFonts w:ascii="Symbol" w:hAnsi="Symbol" w:hint="default"/>
      </w:rPr>
    </w:lvl>
    <w:lvl w:ilvl="1" w:tplc="E7380352" w:tentative="1">
      <w:start w:val="1"/>
      <w:numFmt w:val="decimal"/>
      <w:lvlText w:val="%2."/>
      <w:lvlJc w:val="left"/>
      <w:pPr>
        <w:tabs>
          <w:tab w:val="num" w:pos="1440"/>
        </w:tabs>
        <w:ind w:left="1440" w:hanging="360"/>
      </w:pPr>
    </w:lvl>
    <w:lvl w:ilvl="2" w:tplc="C72A0904" w:tentative="1">
      <w:start w:val="1"/>
      <w:numFmt w:val="decimal"/>
      <w:lvlText w:val="%3."/>
      <w:lvlJc w:val="left"/>
      <w:pPr>
        <w:tabs>
          <w:tab w:val="num" w:pos="2160"/>
        </w:tabs>
        <w:ind w:left="2160" w:hanging="360"/>
      </w:pPr>
    </w:lvl>
    <w:lvl w:ilvl="3" w:tplc="2D5A5FF6" w:tentative="1">
      <w:start w:val="1"/>
      <w:numFmt w:val="decimal"/>
      <w:lvlText w:val="%4."/>
      <w:lvlJc w:val="left"/>
      <w:pPr>
        <w:tabs>
          <w:tab w:val="num" w:pos="2880"/>
        </w:tabs>
        <w:ind w:left="2880" w:hanging="360"/>
      </w:pPr>
    </w:lvl>
    <w:lvl w:ilvl="4" w:tplc="E5E4FF86" w:tentative="1">
      <w:start w:val="1"/>
      <w:numFmt w:val="decimal"/>
      <w:lvlText w:val="%5."/>
      <w:lvlJc w:val="left"/>
      <w:pPr>
        <w:tabs>
          <w:tab w:val="num" w:pos="3600"/>
        </w:tabs>
        <w:ind w:left="3600" w:hanging="360"/>
      </w:pPr>
    </w:lvl>
    <w:lvl w:ilvl="5" w:tplc="3EA49ED6" w:tentative="1">
      <w:start w:val="1"/>
      <w:numFmt w:val="decimal"/>
      <w:lvlText w:val="%6."/>
      <w:lvlJc w:val="left"/>
      <w:pPr>
        <w:tabs>
          <w:tab w:val="num" w:pos="4320"/>
        </w:tabs>
        <w:ind w:left="4320" w:hanging="360"/>
      </w:pPr>
    </w:lvl>
    <w:lvl w:ilvl="6" w:tplc="E9C0EC14" w:tentative="1">
      <w:start w:val="1"/>
      <w:numFmt w:val="decimal"/>
      <w:lvlText w:val="%7."/>
      <w:lvlJc w:val="left"/>
      <w:pPr>
        <w:tabs>
          <w:tab w:val="num" w:pos="5040"/>
        </w:tabs>
        <w:ind w:left="5040" w:hanging="360"/>
      </w:pPr>
    </w:lvl>
    <w:lvl w:ilvl="7" w:tplc="46CA0300" w:tentative="1">
      <w:start w:val="1"/>
      <w:numFmt w:val="decimal"/>
      <w:lvlText w:val="%8."/>
      <w:lvlJc w:val="left"/>
      <w:pPr>
        <w:tabs>
          <w:tab w:val="num" w:pos="5760"/>
        </w:tabs>
        <w:ind w:left="5760" w:hanging="360"/>
      </w:pPr>
    </w:lvl>
    <w:lvl w:ilvl="8" w:tplc="871E2FC6" w:tentative="1">
      <w:start w:val="1"/>
      <w:numFmt w:val="decimal"/>
      <w:lvlText w:val="%9."/>
      <w:lvlJc w:val="left"/>
      <w:pPr>
        <w:tabs>
          <w:tab w:val="num" w:pos="6480"/>
        </w:tabs>
        <w:ind w:left="6480" w:hanging="360"/>
      </w:pPr>
    </w:lvl>
  </w:abstractNum>
  <w:abstractNum w:abstractNumId="1" w15:restartNumberingAfterBreak="0">
    <w:nsid w:val="199D552E"/>
    <w:multiLevelType w:val="multilevel"/>
    <w:tmpl w:val="00E2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031E32"/>
    <w:multiLevelType w:val="multilevel"/>
    <w:tmpl w:val="5CF6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A55CB8"/>
    <w:multiLevelType w:val="multilevel"/>
    <w:tmpl w:val="9774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9600B4"/>
    <w:multiLevelType w:val="hybridMultilevel"/>
    <w:tmpl w:val="40A0A972"/>
    <w:lvl w:ilvl="0" w:tplc="20000001">
      <w:start w:val="1"/>
      <w:numFmt w:val="bullet"/>
      <w:lvlText w:val=""/>
      <w:lvlJc w:val="left"/>
      <w:pPr>
        <w:ind w:left="732" w:hanging="360"/>
      </w:pPr>
      <w:rPr>
        <w:rFonts w:ascii="Symbol" w:hAnsi="Symbol" w:hint="default"/>
      </w:rPr>
    </w:lvl>
    <w:lvl w:ilvl="1" w:tplc="20000003" w:tentative="1">
      <w:start w:val="1"/>
      <w:numFmt w:val="bullet"/>
      <w:lvlText w:val="o"/>
      <w:lvlJc w:val="left"/>
      <w:pPr>
        <w:ind w:left="1452" w:hanging="360"/>
      </w:pPr>
      <w:rPr>
        <w:rFonts w:ascii="Courier New" w:hAnsi="Courier New" w:cs="Courier New" w:hint="default"/>
      </w:rPr>
    </w:lvl>
    <w:lvl w:ilvl="2" w:tplc="20000005" w:tentative="1">
      <w:start w:val="1"/>
      <w:numFmt w:val="bullet"/>
      <w:lvlText w:val=""/>
      <w:lvlJc w:val="left"/>
      <w:pPr>
        <w:ind w:left="2172" w:hanging="360"/>
      </w:pPr>
      <w:rPr>
        <w:rFonts w:ascii="Wingdings" w:hAnsi="Wingdings" w:hint="default"/>
      </w:rPr>
    </w:lvl>
    <w:lvl w:ilvl="3" w:tplc="20000001" w:tentative="1">
      <w:start w:val="1"/>
      <w:numFmt w:val="bullet"/>
      <w:lvlText w:val=""/>
      <w:lvlJc w:val="left"/>
      <w:pPr>
        <w:ind w:left="2892" w:hanging="360"/>
      </w:pPr>
      <w:rPr>
        <w:rFonts w:ascii="Symbol" w:hAnsi="Symbol" w:hint="default"/>
      </w:rPr>
    </w:lvl>
    <w:lvl w:ilvl="4" w:tplc="20000003" w:tentative="1">
      <w:start w:val="1"/>
      <w:numFmt w:val="bullet"/>
      <w:lvlText w:val="o"/>
      <w:lvlJc w:val="left"/>
      <w:pPr>
        <w:ind w:left="3612" w:hanging="360"/>
      </w:pPr>
      <w:rPr>
        <w:rFonts w:ascii="Courier New" w:hAnsi="Courier New" w:cs="Courier New" w:hint="default"/>
      </w:rPr>
    </w:lvl>
    <w:lvl w:ilvl="5" w:tplc="20000005" w:tentative="1">
      <w:start w:val="1"/>
      <w:numFmt w:val="bullet"/>
      <w:lvlText w:val=""/>
      <w:lvlJc w:val="left"/>
      <w:pPr>
        <w:ind w:left="4332" w:hanging="360"/>
      </w:pPr>
      <w:rPr>
        <w:rFonts w:ascii="Wingdings" w:hAnsi="Wingdings" w:hint="default"/>
      </w:rPr>
    </w:lvl>
    <w:lvl w:ilvl="6" w:tplc="20000001" w:tentative="1">
      <w:start w:val="1"/>
      <w:numFmt w:val="bullet"/>
      <w:lvlText w:val=""/>
      <w:lvlJc w:val="left"/>
      <w:pPr>
        <w:ind w:left="5052" w:hanging="360"/>
      </w:pPr>
      <w:rPr>
        <w:rFonts w:ascii="Symbol" w:hAnsi="Symbol" w:hint="default"/>
      </w:rPr>
    </w:lvl>
    <w:lvl w:ilvl="7" w:tplc="20000003" w:tentative="1">
      <w:start w:val="1"/>
      <w:numFmt w:val="bullet"/>
      <w:lvlText w:val="o"/>
      <w:lvlJc w:val="left"/>
      <w:pPr>
        <w:ind w:left="5772" w:hanging="360"/>
      </w:pPr>
      <w:rPr>
        <w:rFonts w:ascii="Courier New" w:hAnsi="Courier New" w:cs="Courier New" w:hint="default"/>
      </w:rPr>
    </w:lvl>
    <w:lvl w:ilvl="8" w:tplc="20000005" w:tentative="1">
      <w:start w:val="1"/>
      <w:numFmt w:val="bullet"/>
      <w:lvlText w:val=""/>
      <w:lvlJc w:val="left"/>
      <w:pPr>
        <w:ind w:left="6492" w:hanging="360"/>
      </w:pPr>
      <w:rPr>
        <w:rFonts w:ascii="Wingdings" w:hAnsi="Wingdings" w:hint="default"/>
      </w:rPr>
    </w:lvl>
  </w:abstractNum>
  <w:abstractNum w:abstractNumId="5" w15:restartNumberingAfterBreak="0">
    <w:nsid w:val="22704CB7"/>
    <w:multiLevelType w:val="hybridMultilevel"/>
    <w:tmpl w:val="A170F7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4766D0E"/>
    <w:multiLevelType w:val="hybridMultilevel"/>
    <w:tmpl w:val="0628AB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AD03704"/>
    <w:multiLevelType w:val="multilevel"/>
    <w:tmpl w:val="8F16A97A"/>
    <w:lvl w:ilvl="0">
      <w:start w:val="19"/>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2FE92F19"/>
    <w:multiLevelType w:val="hybridMultilevel"/>
    <w:tmpl w:val="276262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1D45A4C"/>
    <w:multiLevelType w:val="multilevel"/>
    <w:tmpl w:val="D0AE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12" w15:restartNumberingAfterBreak="0">
    <w:nsid w:val="3E481509"/>
    <w:multiLevelType w:val="multilevel"/>
    <w:tmpl w:val="650C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C77037"/>
    <w:multiLevelType w:val="hybridMultilevel"/>
    <w:tmpl w:val="50F64F6E"/>
    <w:lvl w:ilvl="0" w:tplc="B06E0152">
      <w:start w:val="1"/>
      <w:numFmt w:val="lowerRoman"/>
      <w:lvlText w:val="(%1)"/>
      <w:lvlJc w:val="right"/>
      <w:pPr>
        <w:ind w:left="720" w:hanging="360"/>
      </w:pPr>
    </w:lvl>
    <w:lvl w:ilvl="1" w:tplc="2354944A">
      <w:start w:val="1"/>
      <w:numFmt w:val="lowerLetter"/>
      <w:lvlText w:val="%2."/>
      <w:lvlJc w:val="left"/>
      <w:pPr>
        <w:ind w:left="1440" w:hanging="360"/>
      </w:pPr>
    </w:lvl>
    <w:lvl w:ilvl="2" w:tplc="870C454C">
      <w:start w:val="1"/>
      <w:numFmt w:val="lowerRoman"/>
      <w:lvlText w:val="%3."/>
      <w:lvlJc w:val="right"/>
      <w:pPr>
        <w:ind w:left="2160" w:hanging="180"/>
      </w:pPr>
    </w:lvl>
    <w:lvl w:ilvl="3" w:tplc="FB7A1F26">
      <w:start w:val="1"/>
      <w:numFmt w:val="decimal"/>
      <w:lvlText w:val="%4."/>
      <w:lvlJc w:val="left"/>
      <w:pPr>
        <w:ind w:left="2880" w:hanging="360"/>
      </w:pPr>
    </w:lvl>
    <w:lvl w:ilvl="4" w:tplc="3B64F242">
      <w:start w:val="1"/>
      <w:numFmt w:val="lowerLetter"/>
      <w:lvlText w:val="%5."/>
      <w:lvlJc w:val="left"/>
      <w:pPr>
        <w:ind w:left="3600" w:hanging="360"/>
      </w:pPr>
    </w:lvl>
    <w:lvl w:ilvl="5" w:tplc="993E4DFE">
      <w:start w:val="1"/>
      <w:numFmt w:val="lowerRoman"/>
      <w:lvlText w:val="%6."/>
      <w:lvlJc w:val="right"/>
      <w:pPr>
        <w:ind w:left="4320" w:hanging="180"/>
      </w:pPr>
    </w:lvl>
    <w:lvl w:ilvl="6" w:tplc="72824DAE">
      <w:start w:val="1"/>
      <w:numFmt w:val="decimal"/>
      <w:lvlText w:val="%7."/>
      <w:lvlJc w:val="left"/>
      <w:pPr>
        <w:ind w:left="5040" w:hanging="360"/>
      </w:pPr>
    </w:lvl>
    <w:lvl w:ilvl="7" w:tplc="7938F612">
      <w:start w:val="1"/>
      <w:numFmt w:val="lowerLetter"/>
      <w:lvlText w:val="%8."/>
      <w:lvlJc w:val="left"/>
      <w:pPr>
        <w:ind w:left="5760" w:hanging="360"/>
      </w:pPr>
    </w:lvl>
    <w:lvl w:ilvl="8" w:tplc="C400ACB6">
      <w:start w:val="1"/>
      <w:numFmt w:val="lowerRoman"/>
      <w:lvlText w:val="%9."/>
      <w:lvlJc w:val="right"/>
      <w:pPr>
        <w:ind w:left="6480" w:hanging="180"/>
      </w:pPr>
    </w:lvl>
  </w:abstractNum>
  <w:abstractNum w:abstractNumId="14"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52E321F1"/>
    <w:multiLevelType w:val="multilevel"/>
    <w:tmpl w:val="9D5A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C00AFA"/>
    <w:multiLevelType w:val="hybridMultilevel"/>
    <w:tmpl w:val="82E87D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01832BF"/>
    <w:multiLevelType w:val="multilevel"/>
    <w:tmpl w:val="0EFA076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61D876FF"/>
    <w:multiLevelType w:val="hybridMultilevel"/>
    <w:tmpl w:val="09BE005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635338C8"/>
    <w:multiLevelType w:val="hybridMultilevel"/>
    <w:tmpl w:val="6D720B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65FE09B5"/>
    <w:multiLevelType w:val="multilevel"/>
    <w:tmpl w:val="195661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7AFB323B"/>
    <w:multiLevelType w:val="multilevel"/>
    <w:tmpl w:val="72162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EB5DA6"/>
    <w:multiLevelType w:val="hybridMultilevel"/>
    <w:tmpl w:val="AC6C1D5C"/>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16cid:durableId="1205411107">
    <w:abstractNumId w:val="13"/>
  </w:num>
  <w:num w:numId="2" w16cid:durableId="494226051">
    <w:abstractNumId w:val="15"/>
  </w:num>
  <w:num w:numId="3" w16cid:durableId="1760832875">
    <w:abstractNumId w:val="11"/>
  </w:num>
  <w:num w:numId="4" w16cid:durableId="294485103">
    <w:abstractNumId w:val="22"/>
  </w:num>
  <w:num w:numId="5" w16cid:durableId="1679042194">
    <w:abstractNumId w:val="7"/>
  </w:num>
  <w:num w:numId="6" w16cid:durableId="816341661">
    <w:abstractNumId w:val="14"/>
  </w:num>
  <w:num w:numId="7" w16cid:durableId="1214853778">
    <w:abstractNumId w:val="24"/>
  </w:num>
  <w:num w:numId="8" w16cid:durableId="747581887">
    <w:abstractNumId w:val="8"/>
  </w:num>
  <w:num w:numId="9" w16cid:durableId="1267733018">
    <w:abstractNumId w:val="10"/>
  </w:num>
  <w:num w:numId="10" w16cid:durableId="291325342">
    <w:abstractNumId w:val="2"/>
  </w:num>
  <w:num w:numId="11" w16cid:durableId="376515768">
    <w:abstractNumId w:val="23"/>
  </w:num>
  <w:num w:numId="12" w16cid:durableId="744230564">
    <w:abstractNumId w:val="12"/>
  </w:num>
  <w:num w:numId="13" w16cid:durableId="564225361">
    <w:abstractNumId w:val="6"/>
  </w:num>
  <w:num w:numId="14" w16cid:durableId="1958877477">
    <w:abstractNumId w:val="20"/>
  </w:num>
  <w:num w:numId="15" w16cid:durableId="762073730">
    <w:abstractNumId w:val="19"/>
  </w:num>
  <w:num w:numId="16" w16cid:durableId="908885035">
    <w:abstractNumId w:val="3"/>
  </w:num>
  <w:num w:numId="17" w16cid:durableId="1308129942">
    <w:abstractNumId w:val="21"/>
  </w:num>
  <w:num w:numId="18" w16cid:durableId="2099981608">
    <w:abstractNumId w:val="1"/>
  </w:num>
  <w:num w:numId="19" w16cid:durableId="731537923">
    <w:abstractNumId w:val="18"/>
  </w:num>
  <w:num w:numId="20" w16cid:durableId="193621533">
    <w:abstractNumId w:val="5"/>
  </w:num>
  <w:num w:numId="21" w16cid:durableId="58331133">
    <w:abstractNumId w:val="4"/>
  </w:num>
  <w:num w:numId="22" w16cid:durableId="1241794453">
    <w:abstractNumId w:val="0"/>
  </w:num>
  <w:num w:numId="23" w16cid:durableId="784496379">
    <w:abstractNumId w:val="16"/>
  </w:num>
  <w:num w:numId="24" w16cid:durableId="753550886">
    <w:abstractNumId w:val="17"/>
  </w:num>
  <w:num w:numId="25" w16cid:durableId="12311872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0A40"/>
    <w:rsid w:val="00002B32"/>
    <w:rsid w:val="00003456"/>
    <w:rsid w:val="00006E94"/>
    <w:rsid w:val="000104F1"/>
    <w:rsid w:val="00012166"/>
    <w:rsid w:val="00013A22"/>
    <w:rsid w:val="000144FD"/>
    <w:rsid w:val="000150EF"/>
    <w:rsid w:val="000161CB"/>
    <w:rsid w:val="000172B6"/>
    <w:rsid w:val="00017BA4"/>
    <w:rsid w:val="000236F6"/>
    <w:rsid w:val="00024C40"/>
    <w:rsid w:val="000309B1"/>
    <w:rsid w:val="000323CA"/>
    <w:rsid w:val="000340C4"/>
    <w:rsid w:val="00034521"/>
    <w:rsid w:val="00036045"/>
    <w:rsid w:val="00040B2A"/>
    <w:rsid w:val="00044009"/>
    <w:rsid w:val="00045955"/>
    <w:rsid w:val="00050A20"/>
    <w:rsid w:val="000511D8"/>
    <w:rsid w:val="00051B76"/>
    <w:rsid w:val="00054098"/>
    <w:rsid w:val="00056D7C"/>
    <w:rsid w:val="000575AC"/>
    <w:rsid w:val="00061165"/>
    <w:rsid w:val="00066A25"/>
    <w:rsid w:val="00070635"/>
    <w:rsid w:val="00070A85"/>
    <w:rsid w:val="00070E04"/>
    <w:rsid w:val="0007552A"/>
    <w:rsid w:val="00076559"/>
    <w:rsid w:val="00077B3F"/>
    <w:rsid w:val="00080890"/>
    <w:rsid w:val="00082ACE"/>
    <w:rsid w:val="00082DC5"/>
    <w:rsid w:val="00086149"/>
    <w:rsid w:val="000862E8"/>
    <w:rsid w:val="0008728A"/>
    <w:rsid w:val="000903C2"/>
    <w:rsid w:val="0009548A"/>
    <w:rsid w:val="00097DD2"/>
    <w:rsid w:val="000B3C06"/>
    <w:rsid w:val="000C0144"/>
    <w:rsid w:val="000C05DC"/>
    <w:rsid w:val="000C174B"/>
    <w:rsid w:val="000C1ABE"/>
    <w:rsid w:val="000C257A"/>
    <w:rsid w:val="000C3008"/>
    <w:rsid w:val="000C4CCF"/>
    <w:rsid w:val="000C5A89"/>
    <w:rsid w:val="000C638F"/>
    <w:rsid w:val="000D01FB"/>
    <w:rsid w:val="000D3B04"/>
    <w:rsid w:val="000D3DB7"/>
    <w:rsid w:val="000E378A"/>
    <w:rsid w:val="000E38DA"/>
    <w:rsid w:val="000E4051"/>
    <w:rsid w:val="000F100A"/>
    <w:rsid w:val="000F2782"/>
    <w:rsid w:val="000F3290"/>
    <w:rsid w:val="000F4D19"/>
    <w:rsid w:val="000F5F2B"/>
    <w:rsid w:val="000F78BD"/>
    <w:rsid w:val="00100B6F"/>
    <w:rsid w:val="00100E03"/>
    <w:rsid w:val="00102DA5"/>
    <w:rsid w:val="00105D47"/>
    <w:rsid w:val="00105F76"/>
    <w:rsid w:val="00110B73"/>
    <w:rsid w:val="00117AC8"/>
    <w:rsid w:val="00117FB5"/>
    <w:rsid w:val="001202B6"/>
    <w:rsid w:val="00120A1E"/>
    <w:rsid w:val="00121834"/>
    <w:rsid w:val="00122FBB"/>
    <w:rsid w:val="001246B1"/>
    <w:rsid w:val="00125132"/>
    <w:rsid w:val="00126A3E"/>
    <w:rsid w:val="00127E0E"/>
    <w:rsid w:val="00134831"/>
    <w:rsid w:val="00134D13"/>
    <w:rsid w:val="00135207"/>
    <w:rsid w:val="00135F11"/>
    <w:rsid w:val="0014541A"/>
    <w:rsid w:val="00146DE3"/>
    <w:rsid w:val="00150E51"/>
    <w:rsid w:val="00151D91"/>
    <w:rsid w:val="00152D26"/>
    <w:rsid w:val="00156367"/>
    <w:rsid w:val="001563D3"/>
    <w:rsid w:val="00156A4E"/>
    <w:rsid w:val="001670BA"/>
    <w:rsid w:val="001676F5"/>
    <w:rsid w:val="00167947"/>
    <w:rsid w:val="00170567"/>
    <w:rsid w:val="001708F3"/>
    <w:rsid w:val="001720D8"/>
    <w:rsid w:val="001728BE"/>
    <w:rsid w:val="00172C70"/>
    <w:rsid w:val="00173470"/>
    <w:rsid w:val="0017469B"/>
    <w:rsid w:val="00174EE8"/>
    <w:rsid w:val="00180EEE"/>
    <w:rsid w:val="00183B39"/>
    <w:rsid w:val="00186D42"/>
    <w:rsid w:val="00187448"/>
    <w:rsid w:val="00187705"/>
    <w:rsid w:val="001915A5"/>
    <w:rsid w:val="001929FE"/>
    <w:rsid w:val="00192EFA"/>
    <w:rsid w:val="001934BA"/>
    <w:rsid w:val="0019573C"/>
    <w:rsid w:val="001A124A"/>
    <w:rsid w:val="001A409A"/>
    <w:rsid w:val="001A5E09"/>
    <w:rsid w:val="001A64B7"/>
    <w:rsid w:val="001A7743"/>
    <w:rsid w:val="001B475E"/>
    <w:rsid w:val="001B6A1F"/>
    <w:rsid w:val="001C262A"/>
    <w:rsid w:val="001C7240"/>
    <w:rsid w:val="001D0416"/>
    <w:rsid w:val="001D106B"/>
    <w:rsid w:val="001D3358"/>
    <w:rsid w:val="001D6054"/>
    <w:rsid w:val="001D62C9"/>
    <w:rsid w:val="001D6D18"/>
    <w:rsid w:val="001E3668"/>
    <w:rsid w:val="001E515D"/>
    <w:rsid w:val="001F060F"/>
    <w:rsid w:val="001F0C30"/>
    <w:rsid w:val="001F57D1"/>
    <w:rsid w:val="001F6221"/>
    <w:rsid w:val="001F638D"/>
    <w:rsid w:val="001F7CCF"/>
    <w:rsid w:val="00202240"/>
    <w:rsid w:val="00202C30"/>
    <w:rsid w:val="00203375"/>
    <w:rsid w:val="0020490C"/>
    <w:rsid w:val="00206674"/>
    <w:rsid w:val="0020742C"/>
    <w:rsid w:val="002115A4"/>
    <w:rsid w:val="00211600"/>
    <w:rsid w:val="00211F0E"/>
    <w:rsid w:val="002163F7"/>
    <w:rsid w:val="00220135"/>
    <w:rsid w:val="0023145A"/>
    <w:rsid w:val="00232728"/>
    <w:rsid w:val="00233125"/>
    <w:rsid w:val="00233D29"/>
    <w:rsid w:val="00234432"/>
    <w:rsid w:val="002368A6"/>
    <w:rsid w:val="00240D92"/>
    <w:rsid w:val="0024182A"/>
    <w:rsid w:val="00247150"/>
    <w:rsid w:val="002475F8"/>
    <w:rsid w:val="00250384"/>
    <w:rsid w:val="0025091D"/>
    <w:rsid w:val="00252CC0"/>
    <w:rsid w:val="00253857"/>
    <w:rsid w:val="00254CF8"/>
    <w:rsid w:val="00257C5C"/>
    <w:rsid w:val="002615A5"/>
    <w:rsid w:val="002703F7"/>
    <w:rsid w:val="00270B8D"/>
    <w:rsid w:val="00271CB0"/>
    <w:rsid w:val="00274AE7"/>
    <w:rsid w:val="002774CB"/>
    <w:rsid w:val="00285C6F"/>
    <w:rsid w:val="00286D05"/>
    <w:rsid w:val="00291D1C"/>
    <w:rsid w:val="00292DA3"/>
    <w:rsid w:val="002956A3"/>
    <w:rsid w:val="00295A5D"/>
    <w:rsid w:val="002A14E2"/>
    <w:rsid w:val="002A240B"/>
    <w:rsid w:val="002A244E"/>
    <w:rsid w:val="002A35F1"/>
    <w:rsid w:val="002A3F33"/>
    <w:rsid w:val="002A566D"/>
    <w:rsid w:val="002A5A19"/>
    <w:rsid w:val="002A658C"/>
    <w:rsid w:val="002A6A42"/>
    <w:rsid w:val="002B435A"/>
    <w:rsid w:val="002B4ED5"/>
    <w:rsid w:val="002B7846"/>
    <w:rsid w:val="002C09D5"/>
    <w:rsid w:val="002C4256"/>
    <w:rsid w:val="002C55F4"/>
    <w:rsid w:val="002C5B94"/>
    <w:rsid w:val="002D71DE"/>
    <w:rsid w:val="002E459C"/>
    <w:rsid w:val="002E5865"/>
    <w:rsid w:val="002E7A68"/>
    <w:rsid w:val="002F009D"/>
    <w:rsid w:val="002F1CAA"/>
    <w:rsid w:val="002F47EB"/>
    <w:rsid w:val="002F6118"/>
    <w:rsid w:val="003030C2"/>
    <w:rsid w:val="00303BA8"/>
    <w:rsid w:val="00306A4F"/>
    <w:rsid w:val="00306E1E"/>
    <w:rsid w:val="00311355"/>
    <w:rsid w:val="003128B8"/>
    <w:rsid w:val="00315045"/>
    <w:rsid w:val="00315D37"/>
    <w:rsid w:val="003166CA"/>
    <w:rsid w:val="00321F5B"/>
    <w:rsid w:val="00324855"/>
    <w:rsid w:val="0032602D"/>
    <w:rsid w:val="00326212"/>
    <w:rsid w:val="00326D27"/>
    <w:rsid w:val="00326FA7"/>
    <w:rsid w:val="00330CEB"/>
    <w:rsid w:val="00334C27"/>
    <w:rsid w:val="0033583C"/>
    <w:rsid w:val="00336347"/>
    <w:rsid w:val="0033690B"/>
    <w:rsid w:val="003372D9"/>
    <w:rsid w:val="003408B2"/>
    <w:rsid w:val="00340D86"/>
    <w:rsid w:val="00344793"/>
    <w:rsid w:val="00344FCF"/>
    <w:rsid w:val="003541C5"/>
    <w:rsid w:val="003560CA"/>
    <w:rsid w:val="00357957"/>
    <w:rsid w:val="00360B97"/>
    <w:rsid w:val="003643A7"/>
    <w:rsid w:val="003651FE"/>
    <w:rsid w:val="00365540"/>
    <w:rsid w:val="0036663E"/>
    <w:rsid w:val="00367352"/>
    <w:rsid w:val="0037023D"/>
    <w:rsid w:val="00373621"/>
    <w:rsid w:val="003747C3"/>
    <w:rsid w:val="0037768A"/>
    <w:rsid w:val="003778CF"/>
    <w:rsid w:val="00377F42"/>
    <w:rsid w:val="003814AE"/>
    <w:rsid w:val="00384D9C"/>
    <w:rsid w:val="00386523"/>
    <w:rsid w:val="00386F50"/>
    <w:rsid w:val="003918A0"/>
    <w:rsid w:val="00392334"/>
    <w:rsid w:val="003A1B90"/>
    <w:rsid w:val="003A32B6"/>
    <w:rsid w:val="003A37A6"/>
    <w:rsid w:val="003A6771"/>
    <w:rsid w:val="003A7DB5"/>
    <w:rsid w:val="003B001A"/>
    <w:rsid w:val="003B0D6F"/>
    <w:rsid w:val="003B26C2"/>
    <w:rsid w:val="003B2FD8"/>
    <w:rsid w:val="003B6DE5"/>
    <w:rsid w:val="003C381A"/>
    <w:rsid w:val="003C40E5"/>
    <w:rsid w:val="003C5A5F"/>
    <w:rsid w:val="003D04B3"/>
    <w:rsid w:val="003D25FD"/>
    <w:rsid w:val="003D58A3"/>
    <w:rsid w:val="003D58EF"/>
    <w:rsid w:val="003D6A5D"/>
    <w:rsid w:val="003D713E"/>
    <w:rsid w:val="003E5C78"/>
    <w:rsid w:val="003E6778"/>
    <w:rsid w:val="003E6DB5"/>
    <w:rsid w:val="003E717B"/>
    <w:rsid w:val="003F00FC"/>
    <w:rsid w:val="00401950"/>
    <w:rsid w:val="00402ECC"/>
    <w:rsid w:val="0040393F"/>
    <w:rsid w:val="0040396D"/>
    <w:rsid w:val="00403C9E"/>
    <w:rsid w:val="004127C7"/>
    <w:rsid w:val="00412DF9"/>
    <w:rsid w:val="0041328B"/>
    <w:rsid w:val="0041689E"/>
    <w:rsid w:val="00422D94"/>
    <w:rsid w:val="00425FD3"/>
    <w:rsid w:val="00426172"/>
    <w:rsid w:val="0042752F"/>
    <w:rsid w:val="00430198"/>
    <w:rsid w:val="004337F5"/>
    <w:rsid w:val="00433C34"/>
    <w:rsid w:val="00433DA6"/>
    <w:rsid w:val="0043634A"/>
    <w:rsid w:val="00441B8B"/>
    <w:rsid w:val="004425CB"/>
    <w:rsid w:val="004438B6"/>
    <w:rsid w:val="0044475D"/>
    <w:rsid w:val="004455CD"/>
    <w:rsid w:val="0044704A"/>
    <w:rsid w:val="00450BD4"/>
    <w:rsid w:val="00452601"/>
    <w:rsid w:val="004610E6"/>
    <w:rsid w:val="004610E8"/>
    <w:rsid w:val="00461A48"/>
    <w:rsid w:val="00462EFE"/>
    <w:rsid w:val="004631B9"/>
    <w:rsid w:val="00463CED"/>
    <w:rsid w:val="00466C10"/>
    <w:rsid w:val="0047171A"/>
    <w:rsid w:val="004721B8"/>
    <w:rsid w:val="0047280F"/>
    <w:rsid w:val="00481AEF"/>
    <w:rsid w:val="004855E8"/>
    <w:rsid w:val="00485CC8"/>
    <w:rsid w:val="00487160"/>
    <w:rsid w:val="004918DA"/>
    <w:rsid w:val="00491F2C"/>
    <w:rsid w:val="0049288F"/>
    <w:rsid w:val="0049683D"/>
    <w:rsid w:val="004A199D"/>
    <w:rsid w:val="004A64FA"/>
    <w:rsid w:val="004B05C3"/>
    <w:rsid w:val="004B167C"/>
    <w:rsid w:val="004B700A"/>
    <w:rsid w:val="004C15A5"/>
    <w:rsid w:val="004C17B1"/>
    <w:rsid w:val="004C4B8C"/>
    <w:rsid w:val="004C5E7F"/>
    <w:rsid w:val="004C7FF0"/>
    <w:rsid w:val="004D053D"/>
    <w:rsid w:val="004D346D"/>
    <w:rsid w:val="004D6AE2"/>
    <w:rsid w:val="004F1074"/>
    <w:rsid w:val="004F2C3E"/>
    <w:rsid w:val="004F4328"/>
    <w:rsid w:val="004F538C"/>
    <w:rsid w:val="004F5422"/>
    <w:rsid w:val="004F5DB5"/>
    <w:rsid w:val="004F7060"/>
    <w:rsid w:val="00500AD4"/>
    <w:rsid w:val="00504A2B"/>
    <w:rsid w:val="005110F3"/>
    <w:rsid w:val="00511DB2"/>
    <w:rsid w:val="005123FA"/>
    <w:rsid w:val="00514E50"/>
    <w:rsid w:val="00517853"/>
    <w:rsid w:val="00522183"/>
    <w:rsid w:val="00523FC4"/>
    <w:rsid w:val="0052537E"/>
    <w:rsid w:val="00526728"/>
    <w:rsid w:val="00526998"/>
    <w:rsid w:val="00526A54"/>
    <w:rsid w:val="0053016D"/>
    <w:rsid w:val="00534355"/>
    <w:rsid w:val="00540126"/>
    <w:rsid w:val="00541837"/>
    <w:rsid w:val="00544F4B"/>
    <w:rsid w:val="005459BC"/>
    <w:rsid w:val="005463EE"/>
    <w:rsid w:val="0054734E"/>
    <w:rsid w:val="005514C9"/>
    <w:rsid w:val="00551C73"/>
    <w:rsid w:val="00555C08"/>
    <w:rsid w:val="00560303"/>
    <w:rsid w:val="005626EA"/>
    <w:rsid w:val="00562AC3"/>
    <w:rsid w:val="0056443E"/>
    <w:rsid w:val="0056616A"/>
    <w:rsid w:val="005678BE"/>
    <w:rsid w:val="00571808"/>
    <w:rsid w:val="00571A82"/>
    <w:rsid w:val="0057254A"/>
    <w:rsid w:val="005739C1"/>
    <w:rsid w:val="005818EA"/>
    <w:rsid w:val="00592BE3"/>
    <w:rsid w:val="00592D53"/>
    <w:rsid w:val="005933A6"/>
    <w:rsid w:val="005A078B"/>
    <w:rsid w:val="005A1EFF"/>
    <w:rsid w:val="005A44F4"/>
    <w:rsid w:val="005A6711"/>
    <w:rsid w:val="005A6BA9"/>
    <w:rsid w:val="005A7F95"/>
    <w:rsid w:val="005B1636"/>
    <w:rsid w:val="005B34D4"/>
    <w:rsid w:val="005B7CF7"/>
    <w:rsid w:val="005C018C"/>
    <w:rsid w:val="005C02BA"/>
    <w:rsid w:val="005C0588"/>
    <w:rsid w:val="005C05DF"/>
    <w:rsid w:val="005C106D"/>
    <w:rsid w:val="005C3368"/>
    <w:rsid w:val="005C630C"/>
    <w:rsid w:val="005D4DE4"/>
    <w:rsid w:val="005D685E"/>
    <w:rsid w:val="005D77FA"/>
    <w:rsid w:val="005D79BA"/>
    <w:rsid w:val="005E18B7"/>
    <w:rsid w:val="005E4DEB"/>
    <w:rsid w:val="005E4F85"/>
    <w:rsid w:val="005F10FE"/>
    <w:rsid w:val="006040E3"/>
    <w:rsid w:val="00607C65"/>
    <w:rsid w:val="00610786"/>
    <w:rsid w:val="006118AB"/>
    <w:rsid w:val="006128FE"/>
    <w:rsid w:val="006150BC"/>
    <w:rsid w:val="006173D6"/>
    <w:rsid w:val="00620DE4"/>
    <w:rsid w:val="0062166E"/>
    <w:rsid w:val="00622B63"/>
    <w:rsid w:val="00626622"/>
    <w:rsid w:val="006322D4"/>
    <w:rsid w:val="00635C0C"/>
    <w:rsid w:val="00637EA9"/>
    <w:rsid w:val="00640A8D"/>
    <w:rsid w:val="00644A03"/>
    <w:rsid w:val="006520FA"/>
    <w:rsid w:val="006525B3"/>
    <w:rsid w:val="00653E6D"/>
    <w:rsid w:val="00663AA2"/>
    <w:rsid w:val="00665438"/>
    <w:rsid w:val="006665DF"/>
    <w:rsid w:val="006666C0"/>
    <w:rsid w:val="0066686B"/>
    <w:rsid w:val="00671143"/>
    <w:rsid w:val="00675CA4"/>
    <w:rsid w:val="006810C4"/>
    <w:rsid w:val="00681736"/>
    <w:rsid w:val="0068419F"/>
    <w:rsid w:val="00685A53"/>
    <w:rsid w:val="00686C5C"/>
    <w:rsid w:val="0069098F"/>
    <w:rsid w:val="00690E9B"/>
    <w:rsid w:val="006951E9"/>
    <w:rsid w:val="0069670D"/>
    <w:rsid w:val="006972D7"/>
    <w:rsid w:val="006979AF"/>
    <w:rsid w:val="006A27AD"/>
    <w:rsid w:val="006B19CB"/>
    <w:rsid w:val="006B1AC3"/>
    <w:rsid w:val="006B5CDE"/>
    <w:rsid w:val="006C0DE1"/>
    <w:rsid w:val="006C11FA"/>
    <w:rsid w:val="006C1C62"/>
    <w:rsid w:val="006C5063"/>
    <w:rsid w:val="006C597C"/>
    <w:rsid w:val="006C5A48"/>
    <w:rsid w:val="006C75A4"/>
    <w:rsid w:val="006D0266"/>
    <w:rsid w:val="006D043A"/>
    <w:rsid w:val="006D0552"/>
    <w:rsid w:val="006D1C31"/>
    <w:rsid w:val="006D24BE"/>
    <w:rsid w:val="006D360D"/>
    <w:rsid w:val="006D4774"/>
    <w:rsid w:val="006D555A"/>
    <w:rsid w:val="006D5C22"/>
    <w:rsid w:val="006E0CE6"/>
    <w:rsid w:val="006E2333"/>
    <w:rsid w:val="006E5A98"/>
    <w:rsid w:val="006F1429"/>
    <w:rsid w:val="006F1945"/>
    <w:rsid w:val="006F46B0"/>
    <w:rsid w:val="006F528C"/>
    <w:rsid w:val="006F57FD"/>
    <w:rsid w:val="006F58EC"/>
    <w:rsid w:val="007023BC"/>
    <w:rsid w:val="007048F7"/>
    <w:rsid w:val="00704D1D"/>
    <w:rsid w:val="00707864"/>
    <w:rsid w:val="00713ADB"/>
    <w:rsid w:val="00713F89"/>
    <w:rsid w:val="00714E7F"/>
    <w:rsid w:val="00715367"/>
    <w:rsid w:val="0071550A"/>
    <w:rsid w:val="0072169B"/>
    <w:rsid w:val="007216D5"/>
    <w:rsid w:val="00722573"/>
    <w:rsid w:val="007229FA"/>
    <w:rsid w:val="0072465C"/>
    <w:rsid w:val="00730D0B"/>
    <w:rsid w:val="00740D7B"/>
    <w:rsid w:val="0074308C"/>
    <w:rsid w:val="00744732"/>
    <w:rsid w:val="00745CCB"/>
    <w:rsid w:val="00750902"/>
    <w:rsid w:val="00750BCB"/>
    <w:rsid w:val="00751AAA"/>
    <w:rsid w:val="007531AF"/>
    <w:rsid w:val="00760011"/>
    <w:rsid w:val="00760562"/>
    <w:rsid w:val="00762B82"/>
    <w:rsid w:val="00764613"/>
    <w:rsid w:val="00766C09"/>
    <w:rsid w:val="0076744E"/>
    <w:rsid w:val="007703E0"/>
    <w:rsid w:val="007728EE"/>
    <w:rsid w:val="007752A0"/>
    <w:rsid w:val="00775905"/>
    <w:rsid w:val="00780161"/>
    <w:rsid w:val="00784903"/>
    <w:rsid w:val="00784FCE"/>
    <w:rsid w:val="00790E3B"/>
    <w:rsid w:val="00791196"/>
    <w:rsid w:val="007911A5"/>
    <w:rsid w:val="007970D0"/>
    <w:rsid w:val="007A0A4A"/>
    <w:rsid w:val="007A11E2"/>
    <w:rsid w:val="007A1BA2"/>
    <w:rsid w:val="007A28B4"/>
    <w:rsid w:val="007A3C5D"/>
    <w:rsid w:val="007A3E37"/>
    <w:rsid w:val="007A43DE"/>
    <w:rsid w:val="007A6362"/>
    <w:rsid w:val="007B01BA"/>
    <w:rsid w:val="007B4338"/>
    <w:rsid w:val="007B66DD"/>
    <w:rsid w:val="007C040B"/>
    <w:rsid w:val="007C0E30"/>
    <w:rsid w:val="007C1A85"/>
    <w:rsid w:val="007C45C2"/>
    <w:rsid w:val="007D38BE"/>
    <w:rsid w:val="007D3C48"/>
    <w:rsid w:val="007D6ABB"/>
    <w:rsid w:val="007E3166"/>
    <w:rsid w:val="007E5C1B"/>
    <w:rsid w:val="007E5DDB"/>
    <w:rsid w:val="007E7300"/>
    <w:rsid w:val="007F4532"/>
    <w:rsid w:val="007F456A"/>
    <w:rsid w:val="007F4C47"/>
    <w:rsid w:val="007F4C57"/>
    <w:rsid w:val="007F5E5B"/>
    <w:rsid w:val="00802005"/>
    <w:rsid w:val="008049C0"/>
    <w:rsid w:val="00805A82"/>
    <w:rsid w:val="008060B3"/>
    <w:rsid w:val="00812CB9"/>
    <w:rsid w:val="008145D1"/>
    <w:rsid w:val="00816ED4"/>
    <w:rsid w:val="00821367"/>
    <w:rsid w:val="00821F10"/>
    <w:rsid w:val="0082409E"/>
    <w:rsid w:val="008269A8"/>
    <w:rsid w:val="008305EC"/>
    <w:rsid w:val="00832B75"/>
    <w:rsid w:val="00833B3E"/>
    <w:rsid w:val="00833DF7"/>
    <w:rsid w:val="00833E65"/>
    <w:rsid w:val="00834980"/>
    <w:rsid w:val="00836056"/>
    <w:rsid w:val="008430A5"/>
    <w:rsid w:val="0084436F"/>
    <w:rsid w:val="008447F4"/>
    <w:rsid w:val="00846F2E"/>
    <w:rsid w:val="00851074"/>
    <w:rsid w:val="00853D18"/>
    <w:rsid w:val="00857131"/>
    <w:rsid w:val="008618EB"/>
    <w:rsid w:val="00863A0A"/>
    <w:rsid w:val="008640B8"/>
    <w:rsid w:val="0086691A"/>
    <w:rsid w:val="00871D07"/>
    <w:rsid w:val="008735A6"/>
    <w:rsid w:val="0087398F"/>
    <w:rsid w:val="008748B6"/>
    <w:rsid w:val="00875A74"/>
    <w:rsid w:val="00877C91"/>
    <w:rsid w:val="0088043F"/>
    <w:rsid w:val="00881E25"/>
    <w:rsid w:val="00882836"/>
    <w:rsid w:val="008858A4"/>
    <w:rsid w:val="00886100"/>
    <w:rsid w:val="0088674B"/>
    <w:rsid w:val="00892752"/>
    <w:rsid w:val="00892C47"/>
    <w:rsid w:val="00895528"/>
    <w:rsid w:val="008A54AD"/>
    <w:rsid w:val="008A7E83"/>
    <w:rsid w:val="008B0BAE"/>
    <w:rsid w:val="008B12DF"/>
    <w:rsid w:val="008B2130"/>
    <w:rsid w:val="008B321D"/>
    <w:rsid w:val="008B4A6B"/>
    <w:rsid w:val="008B6413"/>
    <w:rsid w:val="008B7628"/>
    <w:rsid w:val="008C5207"/>
    <w:rsid w:val="008C60C9"/>
    <w:rsid w:val="008D1C36"/>
    <w:rsid w:val="008D1D37"/>
    <w:rsid w:val="008D633A"/>
    <w:rsid w:val="008D64F9"/>
    <w:rsid w:val="008E0479"/>
    <w:rsid w:val="008E2F79"/>
    <w:rsid w:val="008E3E05"/>
    <w:rsid w:val="008F0475"/>
    <w:rsid w:val="008F1B67"/>
    <w:rsid w:val="008F5CFE"/>
    <w:rsid w:val="0090367A"/>
    <w:rsid w:val="00904460"/>
    <w:rsid w:val="00906DFE"/>
    <w:rsid w:val="00907FF8"/>
    <w:rsid w:val="009113A4"/>
    <w:rsid w:val="00912973"/>
    <w:rsid w:val="00915047"/>
    <w:rsid w:val="009162FC"/>
    <w:rsid w:val="009163B8"/>
    <w:rsid w:val="009204B9"/>
    <w:rsid w:val="009234E4"/>
    <w:rsid w:val="009272E9"/>
    <w:rsid w:val="00932276"/>
    <w:rsid w:val="00933063"/>
    <w:rsid w:val="009345EA"/>
    <w:rsid w:val="00935D3D"/>
    <w:rsid w:val="00936F79"/>
    <w:rsid w:val="00940BCF"/>
    <w:rsid w:val="0094287C"/>
    <w:rsid w:val="00944A40"/>
    <w:rsid w:val="009468D8"/>
    <w:rsid w:val="0094721E"/>
    <w:rsid w:val="00947E5B"/>
    <w:rsid w:val="009510A6"/>
    <w:rsid w:val="0095291A"/>
    <w:rsid w:val="00953347"/>
    <w:rsid w:val="00953FC9"/>
    <w:rsid w:val="009549D0"/>
    <w:rsid w:val="00955351"/>
    <w:rsid w:val="0095543A"/>
    <w:rsid w:val="00955BFD"/>
    <w:rsid w:val="00961915"/>
    <w:rsid w:val="00964AE5"/>
    <w:rsid w:val="00964B48"/>
    <w:rsid w:val="00966CCE"/>
    <w:rsid w:val="00971192"/>
    <w:rsid w:val="00971CE2"/>
    <w:rsid w:val="0097243B"/>
    <w:rsid w:val="0097313C"/>
    <w:rsid w:val="009807F9"/>
    <w:rsid w:val="00982A5C"/>
    <w:rsid w:val="00984C95"/>
    <w:rsid w:val="00987FE0"/>
    <w:rsid w:val="0099150E"/>
    <w:rsid w:val="00992010"/>
    <w:rsid w:val="009A14BD"/>
    <w:rsid w:val="009A15BA"/>
    <w:rsid w:val="009A3C60"/>
    <w:rsid w:val="009A4F09"/>
    <w:rsid w:val="009B02DE"/>
    <w:rsid w:val="009B1E99"/>
    <w:rsid w:val="009B1F9C"/>
    <w:rsid w:val="009B223F"/>
    <w:rsid w:val="009B36D5"/>
    <w:rsid w:val="009B701E"/>
    <w:rsid w:val="009B760A"/>
    <w:rsid w:val="009C40DE"/>
    <w:rsid w:val="009C4493"/>
    <w:rsid w:val="009C7073"/>
    <w:rsid w:val="009C7912"/>
    <w:rsid w:val="009D0A92"/>
    <w:rsid w:val="009E487A"/>
    <w:rsid w:val="009E671B"/>
    <w:rsid w:val="009F052D"/>
    <w:rsid w:val="009F0BC0"/>
    <w:rsid w:val="009F2E3F"/>
    <w:rsid w:val="009F3F94"/>
    <w:rsid w:val="009F4569"/>
    <w:rsid w:val="009F60A8"/>
    <w:rsid w:val="00A019C2"/>
    <w:rsid w:val="00A02F5C"/>
    <w:rsid w:val="00A0335E"/>
    <w:rsid w:val="00A0584E"/>
    <w:rsid w:val="00A0673B"/>
    <w:rsid w:val="00A1045D"/>
    <w:rsid w:val="00A13ADC"/>
    <w:rsid w:val="00A1421E"/>
    <w:rsid w:val="00A15BB7"/>
    <w:rsid w:val="00A17BAC"/>
    <w:rsid w:val="00A17F8E"/>
    <w:rsid w:val="00A208E2"/>
    <w:rsid w:val="00A24202"/>
    <w:rsid w:val="00A24205"/>
    <w:rsid w:val="00A26BB3"/>
    <w:rsid w:val="00A30934"/>
    <w:rsid w:val="00A31196"/>
    <w:rsid w:val="00A316E1"/>
    <w:rsid w:val="00A31A05"/>
    <w:rsid w:val="00A31A56"/>
    <w:rsid w:val="00A31D57"/>
    <w:rsid w:val="00A32D21"/>
    <w:rsid w:val="00A40D9D"/>
    <w:rsid w:val="00A41A4B"/>
    <w:rsid w:val="00A440EC"/>
    <w:rsid w:val="00A44311"/>
    <w:rsid w:val="00A447B1"/>
    <w:rsid w:val="00A453AF"/>
    <w:rsid w:val="00A51F50"/>
    <w:rsid w:val="00A52481"/>
    <w:rsid w:val="00A55C44"/>
    <w:rsid w:val="00A57D42"/>
    <w:rsid w:val="00A636A8"/>
    <w:rsid w:val="00A64433"/>
    <w:rsid w:val="00A65F7F"/>
    <w:rsid w:val="00A713BC"/>
    <w:rsid w:val="00A727E0"/>
    <w:rsid w:val="00A72E36"/>
    <w:rsid w:val="00A85896"/>
    <w:rsid w:val="00A8657C"/>
    <w:rsid w:val="00A90D9A"/>
    <w:rsid w:val="00A92D85"/>
    <w:rsid w:val="00A93139"/>
    <w:rsid w:val="00A937A8"/>
    <w:rsid w:val="00A96B62"/>
    <w:rsid w:val="00A97144"/>
    <w:rsid w:val="00AA5C10"/>
    <w:rsid w:val="00AA7247"/>
    <w:rsid w:val="00AB0F65"/>
    <w:rsid w:val="00AB1B73"/>
    <w:rsid w:val="00AB4954"/>
    <w:rsid w:val="00AC0581"/>
    <w:rsid w:val="00AD1CE0"/>
    <w:rsid w:val="00AD2100"/>
    <w:rsid w:val="00AD326F"/>
    <w:rsid w:val="00AD7C80"/>
    <w:rsid w:val="00AE1032"/>
    <w:rsid w:val="00AE1997"/>
    <w:rsid w:val="00AE1E19"/>
    <w:rsid w:val="00AE24FD"/>
    <w:rsid w:val="00AF221A"/>
    <w:rsid w:val="00AF405C"/>
    <w:rsid w:val="00AF4B36"/>
    <w:rsid w:val="00AF51B4"/>
    <w:rsid w:val="00AF57BD"/>
    <w:rsid w:val="00AFC44B"/>
    <w:rsid w:val="00B023BC"/>
    <w:rsid w:val="00B023C6"/>
    <w:rsid w:val="00B03576"/>
    <w:rsid w:val="00B06113"/>
    <w:rsid w:val="00B07E88"/>
    <w:rsid w:val="00B14815"/>
    <w:rsid w:val="00B22E16"/>
    <w:rsid w:val="00B22EED"/>
    <w:rsid w:val="00B2421D"/>
    <w:rsid w:val="00B27405"/>
    <w:rsid w:val="00B278D8"/>
    <w:rsid w:val="00B27C98"/>
    <w:rsid w:val="00B31B46"/>
    <w:rsid w:val="00B33C59"/>
    <w:rsid w:val="00B419E1"/>
    <w:rsid w:val="00B42F7A"/>
    <w:rsid w:val="00B4656B"/>
    <w:rsid w:val="00B50E83"/>
    <w:rsid w:val="00B5229C"/>
    <w:rsid w:val="00B5325C"/>
    <w:rsid w:val="00B5535F"/>
    <w:rsid w:val="00B60D2A"/>
    <w:rsid w:val="00B61885"/>
    <w:rsid w:val="00B62507"/>
    <w:rsid w:val="00B64F19"/>
    <w:rsid w:val="00B65BDC"/>
    <w:rsid w:val="00B6634B"/>
    <w:rsid w:val="00B70DD0"/>
    <w:rsid w:val="00B7361F"/>
    <w:rsid w:val="00B73CBE"/>
    <w:rsid w:val="00B7483E"/>
    <w:rsid w:val="00B74941"/>
    <w:rsid w:val="00B7539B"/>
    <w:rsid w:val="00B75BB5"/>
    <w:rsid w:val="00B76DD5"/>
    <w:rsid w:val="00B803D0"/>
    <w:rsid w:val="00B81AE0"/>
    <w:rsid w:val="00B84106"/>
    <w:rsid w:val="00B842AF"/>
    <w:rsid w:val="00B85305"/>
    <w:rsid w:val="00B86F63"/>
    <w:rsid w:val="00B9159A"/>
    <w:rsid w:val="00B917EF"/>
    <w:rsid w:val="00B92077"/>
    <w:rsid w:val="00B92154"/>
    <w:rsid w:val="00B92E3D"/>
    <w:rsid w:val="00B95D14"/>
    <w:rsid w:val="00BA048E"/>
    <w:rsid w:val="00BA0FD0"/>
    <w:rsid w:val="00BA13A1"/>
    <w:rsid w:val="00BA3409"/>
    <w:rsid w:val="00BA4218"/>
    <w:rsid w:val="00BA44E5"/>
    <w:rsid w:val="00BA6265"/>
    <w:rsid w:val="00BA6A29"/>
    <w:rsid w:val="00BB0E2F"/>
    <w:rsid w:val="00BB1C4F"/>
    <w:rsid w:val="00BB25CA"/>
    <w:rsid w:val="00BB3437"/>
    <w:rsid w:val="00BB4B0B"/>
    <w:rsid w:val="00BB4EB8"/>
    <w:rsid w:val="00BB5B71"/>
    <w:rsid w:val="00BB616C"/>
    <w:rsid w:val="00BC0923"/>
    <w:rsid w:val="00BC2D08"/>
    <w:rsid w:val="00BC5B2C"/>
    <w:rsid w:val="00BD5E28"/>
    <w:rsid w:val="00BD6771"/>
    <w:rsid w:val="00BD6A11"/>
    <w:rsid w:val="00BD7FE3"/>
    <w:rsid w:val="00BE0AAB"/>
    <w:rsid w:val="00BE27AB"/>
    <w:rsid w:val="00BE3443"/>
    <w:rsid w:val="00BE5E45"/>
    <w:rsid w:val="00BF07D5"/>
    <w:rsid w:val="00BF1B50"/>
    <w:rsid w:val="00BF1BF9"/>
    <w:rsid w:val="00BF4403"/>
    <w:rsid w:val="00BF7C03"/>
    <w:rsid w:val="00C01D35"/>
    <w:rsid w:val="00C10B46"/>
    <w:rsid w:val="00C11DFA"/>
    <w:rsid w:val="00C1426C"/>
    <w:rsid w:val="00C176F0"/>
    <w:rsid w:val="00C2189B"/>
    <w:rsid w:val="00C21EB9"/>
    <w:rsid w:val="00C23535"/>
    <w:rsid w:val="00C255D9"/>
    <w:rsid w:val="00C323D4"/>
    <w:rsid w:val="00C323D6"/>
    <w:rsid w:val="00C33009"/>
    <w:rsid w:val="00C35AD7"/>
    <w:rsid w:val="00C3693E"/>
    <w:rsid w:val="00C40C0A"/>
    <w:rsid w:val="00C41700"/>
    <w:rsid w:val="00C432E1"/>
    <w:rsid w:val="00C4407D"/>
    <w:rsid w:val="00C44243"/>
    <w:rsid w:val="00C5170B"/>
    <w:rsid w:val="00C525ED"/>
    <w:rsid w:val="00C53888"/>
    <w:rsid w:val="00C5435D"/>
    <w:rsid w:val="00C54827"/>
    <w:rsid w:val="00C55B23"/>
    <w:rsid w:val="00C56A3F"/>
    <w:rsid w:val="00C56E95"/>
    <w:rsid w:val="00C578DF"/>
    <w:rsid w:val="00C62725"/>
    <w:rsid w:val="00C627C7"/>
    <w:rsid w:val="00C62A9F"/>
    <w:rsid w:val="00C634F4"/>
    <w:rsid w:val="00C66FB6"/>
    <w:rsid w:val="00C70DA4"/>
    <w:rsid w:val="00C71A84"/>
    <w:rsid w:val="00C722D5"/>
    <w:rsid w:val="00C73274"/>
    <w:rsid w:val="00C7626C"/>
    <w:rsid w:val="00C837E4"/>
    <w:rsid w:val="00C84368"/>
    <w:rsid w:val="00C84D26"/>
    <w:rsid w:val="00C942F0"/>
    <w:rsid w:val="00C953EE"/>
    <w:rsid w:val="00CA25FA"/>
    <w:rsid w:val="00CA4482"/>
    <w:rsid w:val="00CB09BE"/>
    <w:rsid w:val="00CB220B"/>
    <w:rsid w:val="00CB342D"/>
    <w:rsid w:val="00CB3495"/>
    <w:rsid w:val="00CB48B4"/>
    <w:rsid w:val="00CC25B6"/>
    <w:rsid w:val="00CC2C35"/>
    <w:rsid w:val="00CC7094"/>
    <w:rsid w:val="00CD1911"/>
    <w:rsid w:val="00CD7E8B"/>
    <w:rsid w:val="00CE3822"/>
    <w:rsid w:val="00CE3A5F"/>
    <w:rsid w:val="00CE5313"/>
    <w:rsid w:val="00CF08D9"/>
    <w:rsid w:val="00CF60A0"/>
    <w:rsid w:val="00CF69C8"/>
    <w:rsid w:val="00D008E2"/>
    <w:rsid w:val="00D027C7"/>
    <w:rsid w:val="00D04AE9"/>
    <w:rsid w:val="00D0637D"/>
    <w:rsid w:val="00D138B0"/>
    <w:rsid w:val="00D14BF5"/>
    <w:rsid w:val="00D16235"/>
    <w:rsid w:val="00D16831"/>
    <w:rsid w:val="00D24BEF"/>
    <w:rsid w:val="00D25946"/>
    <w:rsid w:val="00D2649F"/>
    <w:rsid w:val="00D32322"/>
    <w:rsid w:val="00D3314A"/>
    <w:rsid w:val="00D335B6"/>
    <w:rsid w:val="00D379DE"/>
    <w:rsid w:val="00D407E5"/>
    <w:rsid w:val="00D42544"/>
    <w:rsid w:val="00D50147"/>
    <w:rsid w:val="00D51697"/>
    <w:rsid w:val="00D52FE6"/>
    <w:rsid w:val="00D54B76"/>
    <w:rsid w:val="00D56F38"/>
    <w:rsid w:val="00D57A06"/>
    <w:rsid w:val="00D627E0"/>
    <w:rsid w:val="00D64545"/>
    <w:rsid w:val="00D677C2"/>
    <w:rsid w:val="00D70347"/>
    <w:rsid w:val="00D722F8"/>
    <w:rsid w:val="00D7495E"/>
    <w:rsid w:val="00D75404"/>
    <w:rsid w:val="00D765AF"/>
    <w:rsid w:val="00D81976"/>
    <w:rsid w:val="00D81D09"/>
    <w:rsid w:val="00D82214"/>
    <w:rsid w:val="00D82C88"/>
    <w:rsid w:val="00D8391B"/>
    <w:rsid w:val="00D83CFE"/>
    <w:rsid w:val="00D86DBB"/>
    <w:rsid w:val="00D9357E"/>
    <w:rsid w:val="00D97B43"/>
    <w:rsid w:val="00DA5F38"/>
    <w:rsid w:val="00DA636C"/>
    <w:rsid w:val="00DB0CBB"/>
    <w:rsid w:val="00DB38F8"/>
    <w:rsid w:val="00DB39CF"/>
    <w:rsid w:val="00DB4923"/>
    <w:rsid w:val="00DB4B0F"/>
    <w:rsid w:val="00DB4F10"/>
    <w:rsid w:val="00DB52E0"/>
    <w:rsid w:val="00DB59D2"/>
    <w:rsid w:val="00DB61BF"/>
    <w:rsid w:val="00DB7E90"/>
    <w:rsid w:val="00DC003B"/>
    <w:rsid w:val="00DC0ABC"/>
    <w:rsid w:val="00DC2050"/>
    <w:rsid w:val="00DC2A18"/>
    <w:rsid w:val="00DC5120"/>
    <w:rsid w:val="00DD4FCD"/>
    <w:rsid w:val="00DD693A"/>
    <w:rsid w:val="00DD6B08"/>
    <w:rsid w:val="00DD7FA8"/>
    <w:rsid w:val="00DE09B8"/>
    <w:rsid w:val="00DE3505"/>
    <w:rsid w:val="00DE3662"/>
    <w:rsid w:val="00DE68CD"/>
    <w:rsid w:val="00DF397B"/>
    <w:rsid w:val="00DF5425"/>
    <w:rsid w:val="00E026E6"/>
    <w:rsid w:val="00E12193"/>
    <w:rsid w:val="00E150CD"/>
    <w:rsid w:val="00E159A6"/>
    <w:rsid w:val="00E1674D"/>
    <w:rsid w:val="00E16907"/>
    <w:rsid w:val="00E22CBA"/>
    <w:rsid w:val="00E26C1A"/>
    <w:rsid w:val="00E34EF7"/>
    <w:rsid w:val="00E352BE"/>
    <w:rsid w:val="00E4206A"/>
    <w:rsid w:val="00E42C31"/>
    <w:rsid w:val="00E443DD"/>
    <w:rsid w:val="00E444B0"/>
    <w:rsid w:val="00E45DEA"/>
    <w:rsid w:val="00E54640"/>
    <w:rsid w:val="00E550F7"/>
    <w:rsid w:val="00E578B6"/>
    <w:rsid w:val="00E61186"/>
    <w:rsid w:val="00E63084"/>
    <w:rsid w:val="00E63142"/>
    <w:rsid w:val="00E6484B"/>
    <w:rsid w:val="00E65982"/>
    <w:rsid w:val="00E70727"/>
    <w:rsid w:val="00E7181F"/>
    <w:rsid w:val="00E733C9"/>
    <w:rsid w:val="00E735D8"/>
    <w:rsid w:val="00E77D79"/>
    <w:rsid w:val="00E85354"/>
    <w:rsid w:val="00E873B1"/>
    <w:rsid w:val="00E910CA"/>
    <w:rsid w:val="00E91174"/>
    <w:rsid w:val="00E93945"/>
    <w:rsid w:val="00E94AF9"/>
    <w:rsid w:val="00E967BB"/>
    <w:rsid w:val="00EA2A26"/>
    <w:rsid w:val="00EA2D4B"/>
    <w:rsid w:val="00EA6095"/>
    <w:rsid w:val="00EB06B6"/>
    <w:rsid w:val="00EB15DD"/>
    <w:rsid w:val="00EB19B6"/>
    <w:rsid w:val="00EB26E1"/>
    <w:rsid w:val="00EB3264"/>
    <w:rsid w:val="00EB534E"/>
    <w:rsid w:val="00EC0B21"/>
    <w:rsid w:val="00EC0F8F"/>
    <w:rsid w:val="00EC1358"/>
    <w:rsid w:val="00EC3B18"/>
    <w:rsid w:val="00EC4D2C"/>
    <w:rsid w:val="00EC760B"/>
    <w:rsid w:val="00ED2435"/>
    <w:rsid w:val="00ED26B9"/>
    <w:rsid w:val="00ED3CD7"/>
    <w:rsid w:val="00ED41CB"/>
    <w:rsid w:val="00ED43BB"/>
    <w:rsid w:val="00ED5262"/>
    <w:rsid w:val="00ED541D"/>
    <w:rsid w:val="00ED6C5A"/>
    <w:rsid w:val="00EE1313"/>
    <w:rsid w:val="00EE15D7"/>
    <w:rsid w:val="00EE2519"/>
    <w:rsid w:val="00EE3B0F"/>
    <w:rsid w:val="00EE3F5F"/>
    <w:rsid w:val="00EE6FC6"/>
    <w:rsid w:val="00EF27CF"/>
    <w:rsid w:val="00EF563A"/>
    <w:rsid w:val="00EF64DF"/>
    <w:rsid w:val="00EF6D21"/>
    <w:rsid w:val="00EF7A75"/>
    <w:rsid w:val="00F02FF9"/>
    <w:rsid w:val="00F03A09"/>
    <w:rsid w:val="00F03F83"/>
    <w:rsid w:val="00F05F5D"/>
    <w:rsid w:val="00F064EB"/>
    <w:rsid w:val="00F075B3"/>
    <w:rsid w:val="00F10A22"/>
    <w:rsid w:val="00F201D4"/>
    <w:rsid w:val="00F24A33"/>
    <w:rsid w:val="00F2618B"/>
    <w:rsid w:val="00F368BB"/>
    <w:rsid w:val="00F409A3"/>
    <w:rsid w:val="00F43821"/>
    <w:rsid w:val="00F44950"/>
    <w:rsid w:val="00F52FCF"/>
    <w:rsid w:val="00F5419E"/>
    <w:rsid w:val="00F54F85"/>
    <w:rsid w:val="00F57EED"/>
    <w:rsid w:val="00F706D2"/>
    <w:rsid w:val="00F715C5"/>
    <w:rsid w:val="00F72254"/>
    <w:rsid w:val="00F74C56"/>
    <w:rsid w:val="00F74EBA"/>
    <w:rsid w:val="00F751B3"/>
    <w:rsid w:val="00F7529A"/>
    <w:rsid w:val="00F76A81"/>
    <w:rsid w:val="00F81752"/>
    <w:rsid w:val="00F828B2"/>
    <w:rsid w:val="00F845BB"/>
    <w:rsid w:val="00F863AB"/>
    <w:rsid w:val="00F933A4"/>
    <w:rsid w:val="00F96110"/>
    <w:rsid w:val="00FA0009"/>
    <w:rsid w:val="00FA37B4"/>
    <w:rsid w:val="00FA5690"/>
    <w:rsid w:val="00FB010C"/>
    <w:rsid w:val="00FB14DA"/>
    <w:rsid w:val="00FB1730"/>
    <w:rsid w:val="00FB1FCA"/>
    <w:rsid w:val="00FC1DF4"/>
    <w:rsid w:val="00FC2849"/>
    <w:rsid w:val="00FC29CF"/>
    <w:rsid w:val="00FC3273"/>
    <w:rsid w:val="00FD0C4C"/>
    <w:rsid w:val="00FD3070"/>
    <w:rsid w:val="00FD3DD7"/>
    <w:rsid w:val="00FE02B1"/>
    <w:rsid w:val="00FE60A4"/>
    <w:rsid w:val="00FE617D"/>
    <w:rsid w:val="00FE6C0F"/>
    <w:rsid w:val="00FE6F4D"/>
    <w:rsid w:val="00FF09CF"/>
    <w:rsid w:val="00FF0B4C"/>
    <w:rsid w:val="00FF1EA6"/>
    <w:rsid w:val="00FF2145"/>
    <w:rsid w:val="00FF36CD"/>
    <w:rsid w:val="00FF4594"/>
    <w:rsid w:val="00FF5128"/>
    <w:rsid w:val="00FF5262"/>
    <w:rsid w:val="012F44C4"/>
    <w:rsid w:val="01432F84"/>
    <w:rsid w:val="02634882"/>
    <w:rsid w:val="0272E79E"/>
    <w:rsid w:val="030A5986"/>
    <w:rsid w:val="033A3896"/>
    <w:rsid w:val="03433238"/>
    <w:rsid w:val="03492DCA"/>
    <w:rsid w:val="03CFE8C1"/>
    <w:rsid w:val="0408F74A"/>
    <w:rsid w:val="0498EB1C"/>
    <w:rsid w:val="04E6961D"/>
    <w:rsid w:val="04F54C04"/>
    <w:rsid w:val="0597B383"/>
    <w:rsid w:val="05A130E2"/>
    <w:rsid w:val="05EDACEB"/>
    <w:rsid w:val="0600AFEA"/>
    <w:rsid w:val="0628A43B"/>
    <w:rsid w:val="0629B561"/>
    <w:rsid w:val="062A7A5A"/>
    <w:rsid w:val="06E360D5"/>
    <w:rsid w:val="06F7194C"/>
    <w:rsid w:val="070516C6"/>
    <w:rsid w:val="07ADFFAB"/>
    <w:rsid w:val="082AF1F6"/>
    <w:rsid w:val="08BF6D82"/>
    <w:rsid w:val="08C24AA7"/>
    <w:rsid w:val="094BA43C"/>
    <w:rsid w:val="09689448"/>
    <w:rsid w:val="097D71D7"/>
    <w:rsid w:val="0987B0A8"/>
    <w:rsid w:val="09B9468F"/>
    <w:rsid w:val="09E1DDDB"/>
    <w:rsid w:val="09F8B4BB"/>
    <w:rsid w:val="0B0D18E5"/>
    <w:rsid w:val="0B1EF280"/>
    <w:rsid w:val="0B4A330F"/>
    <w:rsid w:val="0C381F10"/>
    <w:rsid w:val="0C422598"/>
    <w:rsid w:val="0D24AA46"/>
    <w:rsid w:val="0EA631DC"/>
    <w:rsid w:val="0FB8B36A"/>
    <w:rsid w:val="1040E1F0"/>
    <w:rsid w:val="106D36EF"/>
    <w:rsid w:val="1113BC46"/>
    <w:rsid w:val="11CB0720"/>
    <w:rsid w:val="11D09864"/>
    <w:rsid w:val="1216227E"/>
    <w:rsid w:val="123090C2"/>
    <w:rsid w:val="1256B3F5"/>
    <w:rsid w:val="1283DDDC"/>
    <w:rsid w:val="12AD313B"/>
    <w:rsid w:val="12E73387"/>
    <w:rsid w:val="132B699E"/>
    <w:rsid w:val="1351A429"/>
    <w:rsid w:val="142DB8A4"/>
    <w:rsid w:val="1441A244"/>
    <w:rsid w:val="1559BB09"/>
    <w:rsid w:val="157EA33E"/>
    <w:rsid w:val="15A9DCF2"/>
    <w:rsid w:val="165FB62F"/>
    <w:rsid w:val="1675E79E"/>
    <w:rsid w:val="16A49D70"/>
    <w:rsid w:val="16FE7488"/>
    <w:rsid w:val="1711D21C"/>
    <w:rsid w:val="1759A598"/>
    <w:rsid w:val="175A7DDF"/>
    <w:rsid w:val="1886D1D1"/>
    <w:rsid w:val="18ABA0AE"/>
    <w:rsid w:val="18D4CFE5"/>
    <w:rsid w:val="18EB91CA"/>
    <w:rsid w:val="195AF623"/>
    <w:rsid w:val="1A162D12"/>
    <w:rsid w:val="1A29BCB5"/>
    <w:rsid w:val="1AB773DC"/>
    <w:rsid w:val="1AFEAAAC"/>
    <w:rsid w:val="1B043924"/>
    <w:rsid w:val="1B52B11B"/>
    <w:rsid w:val="1B73D24F"/>
    <w:rsid w:val="1BEBADCF"/>
    <w:rsid w:val="1C5BE745"/>
    <w:rsid w:val="1C716182"/>
    <w:rsid w:val="1C7BEF51"/>
    <w:rsid w:val="1CB91D7D"/>
    <w:rsid w:val="1CCAAEEA"/>
    <w:rsid w:val="1D8EFC65"/>
    <w:rsid w:val="1E66D9FC"/>
    <w:rsid w:val="1F24A779"/>
    <w:rsid w:val="1F39F52E"/>
    <w:rsid w:val="1F74BD1D"/>
    <w:rsid w:val="1F9E03D4"/>
    <w:rsid w:val="1FFABF81"/>
    <w:rsid w:val="206520DD"/>
    <w:rsid w:val="20A44D38"/>
    <w:rsid w:val="20CCA9FE"/>
    <w:rsid w:val="20DE6C99"/>
    <w:rsid w:val="21167881"/>
    <w:rsid w:val="2141F484"/>
    <w:rsid w:val="2148D0CC"/>
    <w:rsid w:val="247C9F8A"/>
    <w:rsid w:val="24F936F4"/>
    <w:rsid w:val="251ADF22"/>
    <w:rsid w:val="253E7F16"/>
    <w:rsid w:val="25579003"/>
    <w:rsid w:val="25D2CDD8"/>
    <w:rsid w:val="26AEAB9A"/>
    <w:rsid w:val="26D9E900"/>
    <w:rsid w:val="273BCBE3"/>
    <w:rsid w:val="27D26866"/>
    <w:rsid w:val="28B5BA90"/>
    <w:rsid w:val="28F1E27A"/>
    <w:rsid w:val="2910FE01"/>
    <w:rsid w:val="29A27F8D"/>
    <w:rsid w:val="29A8C65D"/>
    <w:rsid w:val="2A415A55"/>
    <w:rsid w:val="2AE147E9"/>
    <w:rsid w:val="2BA48DDA"/>
    <w:rsid w:val="2BA6CEB0"/>
    <w:rsid w:val="2BC5848E"/>
    <w:rsid w:val="2C43CE45"/>
    <w:rsid w:val="2CFDD725"/>
    <w:rsid w:val="2D176E44"/>
    <w:rsid w:val="2D337020"/>
    <w:rsid w:val="2D349627"/>
    <w:rsid w:val="2D69A186"/>
    <w:rsid w:val="2D8092D5"/>
    <w:rsid w:val="2FF37AC0"/>
    <w:rsid w:val="30A28AB2"/>
    <w:rsid w:val="30D82190"/>
    <w:rsid w:val="30F7E641"/>
    <w:rsid w:val="31674EF0"/>
    <w:rsid w:val="3198F105"/>
    <w:rsid w:val="31DC2887"/>
    <w:rsid w:val="32B326A1"/>
    <w:rsid w:val="33328901"/>
    <w:rsid w:val="336A5F9D"/>
    <w:rsid w:val="339CBE65"/>
    <w:rsid w:val="34B4345C"/>
    <w:rsid w:val="35112058"/>
    <w:rsid w:val="359B712F"/>
    <w:rsid w:val="36313B0A"/>
    <w:rsid w:val="363302AE"/>
    <w:rsid w:val="369760A8"/>
    <w:rsid w:val="36A42F50"/>
    <w:rsid w:val="36B8CD2E"/>
    <w:rsid w:val="370551E8"/>
    <w:rsid w:val="3838B49A"/>
    <w:rsid w:val="38A93F79"/>
    <w:rsid w:val="38DF6C27"/>
    <w:rsid w:val="390CF8BE"/>
    <w:rsid w:val="393A7EFC"/>
    <w:rsid w:val="39512441"/>
    <w:rsid w:val="3969026A"/>
    <w:rsid w:val="39C29494"/>
    <w:rsid w:val="3AD64302"/>
    <w:rsid w:val="3B56DDB5"/>
    <w:rsid w:val="3BAED678"/>
    <w:rsid w:val="3C17F7B7"/>
    <w:rsid w:val="3D3524E9"/>
    <w:rsid w:val="3D471460"/>
    <w:rsid w:val="3D7D8769"/>
    <w:rsid w:val="3DB52928"/>
    <w:rsid w:val="3DFB0CCC"/>
    <w:rsid w:val="3E6C0200"/>
    <w:rsid w:val="3F66BDA9"/>
    <w:rsid w:val="3F7E5814"/>
    <w:rsid w:val="3F8426A9"/>
    <w:rsid w:val="3FA8026D"/>
    <w:rsid w:val="3FE6B4ED"/>
    <w:rsid w:val="4067F84B"/>
    <w:rsid w:val="40D256B6"/>
    <w:rsid w:val="411DA9BF"/>
    <w:rsid w:val="415DD5E6"/>
    <w:rsid w:val="42C60B3A"/>
    <w:rsid w:val="42CBDE5D"/>
    <w:rsid w:val="42CC33CC"/>
    <w:rsid w:val="42EED2EF"/>
    <w:rsid w:val="4305DD55"/>
    <w:rsid w:val="43D95F39"/>
    <w:rsid w:val="43ECAE51"/>
    <w:rsid w:val="43FD5385"/>
    <w:rsid w:val="448987EB"/>
    <w:rsid w:val="44B78030"/>
    <w:rsid w:val="44BFC74B"/>
    <w:rsid w:val="4513730B"/>
    <w:rsid w:val="451C7A31"/>
    <w:rsid w:val="45503B9B"/>
    <w:rsid w:val="45692B6C"/>
    <w:rsid w:val="458BB561"/>
    <w:rsid w:val="45B606F7"/>
    <w:rsid w:val="45C1752D"/>
    <w:rsid w:val="46143904"/>
    <w:rsid w:val="464D5D55"/>
    <w:rsid w:val="47107A45"/>
    <w:rsid w:val="47918A54"/>
    <w:rsid w:val="4839DD58"/>
    <w:rsid w:val="48567A4F"/>
    <w:rsid w:val="48B88B88"/>
    <w:rsid w:val="48B99DBA"/>
    <w:rsid w:val="49709E42"/>
    <w:rsid w:val="49EDE2E1"/>
    <w:rsid w:val="4A0BBB14"/>
    <w:rsid w:val="4AA6215C"/>
    <w:rsid w:val="4ACE89FA"/>
    <w:rsid w:val="4BDFF553"/>
    <w:rsid w:val="4C1BDC96"/>
    <w:rsid w:val="4C72EF4D"/>
    <w:rsid w:val="4C7F811B"/>
    <w:rsid w:val="4CB91149"/>
    <w:rsid w:val="4CC6B460"/>
    <w:rsid w:val="4CE0DEAA"/>
    <w:rsid w:val="4D57067D"/>
    <w:rsid w:val="4D9513C2"/>
    <w:rsid w:val="4D995DFF"/>
    <w:rsid w:val="4D9FED95"/>
    <w:rsid w:val="4DAD952A"/>
    <w:rsid w:val="4DB9F1FC"/>
    <w:rsid w:val="4DCEF8B2"/>
    <w:rsid w:val="4E984866"/>
    <w:rsid w:val="4EB7F5BA"/>
    <w:rsid w:val="4ED35FFF"/>
    <w:rsid w:val="4FA961E5"/>
    <w:rsid w:val="4FB81658"/>
    <w:rsid w:val="503250B8"/>
    <w:rsid w:val="5036EABF"/>
    <w:rsid w:val="50D747A2"/>
    <w:rsid w:val="510B48D7"/>
    <w:rsid w:val="51CD9FF2"/>
    <w:rsid w:val="520FF460"/>
    <w:rsid w:val="52363B3C"/>
    <w:rsid w:val="52734557"/>
    <w:rsid w:val="529391D9"/>
    <w:rsid w:val="52AA61A3"/>
    <w:rsid w:val="52E7D2A0"/>
    <w:rsid w:val="549E4DD4"/>
    <w:rsid w:val="54D7DE4B"/>
    <w:rsid w:val="54E0DFFE"/>
    <w:rsid w:val="54E47430"/>
    <w:rsid w:val="54E708CF"/>
    <w:rsid w:val="556D47BF"/>
    <w:rsid w:val="55C11FFF"/>
    <w:rsid w:val="55E36AFF"/>
    <w:rsid w:val="5602ABE4"/>
    <w:rsid w:val="56895AC7"/>
    <w:rsid w:val="569E706C"/>
    <w:rsid w:val="56CDAF42"/>
    <w:rsid w:val="56F27758"/>
    <w:rsid w:val="58AA767E"/>
    <w:rsid w:val="58F590C7"/>
    <w:rsid w:val="59DAD258"/>
    <w:rsid w:val="5A0AF131"/>
    <w:rsid w:val="5A4B0C7C"/>
    <w:rsid w:val="5B30FD02"/>
    <w:rsid w:val="5D03A2C3"/>
    <w:rsid w:val="5D3B98DE"/>
    <w:rsid w:val="5D74852D"/>
    <w:rsid w:val="5E18668D"/>
    <w:rsid w:val="5E7DCF1F"/>
    <w:rsid w:val="5EBA1399"/>
    <w:rsid w:val="5ED07CBF"/>
    <w:rsid w:val="5F3A051B"/>
    <w:rsid w:val="5F495EF5"/>
    <w:rsid w:val="5F5B88C2"/>
    <w:rsid w:val="5F741ABB"/>
    <w:rsid w:val="5F8C5FC9"/>
    <w:rsid w:val="5FB73FD7"/>
    <w:rsid w:val="5FEF833F"/>
    <w:rsid w:val="601AC40D"/>
    <w:rsid w:val="60426D87"/>
    <w:rsid w:val="60B7F4BF"/>
    <w:rsid w:val="60D38EB4"/>
    <w:rsid w:val="6147D44D"/>
    <w:rsid w:val="614E05AC"/>
    <w:rsid w:val="6221B6B6"/>
    <w:rsid w:val="62DEAF6F"/>
    <w:rsid w:val="62F6670D"/>
    <w:rsid w:val="638A1021"/>
    <w:rsid w:val="63AA7DAD"/>
    <w:rsid w:val="63FB425D"/>
    <w:rsid w:val="643A48E4"/>
    <w:rsid w:val="64B4D7E6"/>
    <w:rsid w:val="64C38CA7"/>
    <w:rsid w:val="64E5630D"/>
    <w:rsid w:val="6593CDC4"/>
    <w:rsid w:val="65994E2E"/>
    <w:rsid w:val="65A2D2D4"/>
    <w:rsid w:val="65E1D28B"/>
    <w:rsid w:val="66006EB3"/>
    <w:rsid w:val="664E0771"/>
    <w:rsid w:val="66652A40"/>
    <w:rsid w:val="66CE1612"/>
    <w:rsid w:val="66D694A0"/>
    <w:rsid w:val="67C264E3"/>
    <w:rsid w:val="67CFCB08"/>
    <w:rsid w:val="689D5E5B"/>
    <w:rsid w:val="68CFE055"/>
    <w:rsid w:val="68DA833E"/>
    <w:rsid w:val="69FBD128"/>
    <w:rsid w:val="6A0057C3"/>
    <w:rsid w:val="6A5ACEA1"/>
    <w:rsid w:val="6A6BE9CE"/>
    <w:rsid w:val="6A7460A0"/>
    <w:rsid w:val="6AA0FC87"/>
    <w:rsid w:val="6AF00CAB"/>
    <w:rsid w:val="6C72E466"/>
    <w:rsid w:val="6CB440DA"/>
    <w:rsid w:val="6CFB937E"/>
    <w:rsid w:val="6D1853B0"/>
    <w:rsid w:val="6D2003F6"/>
    <w:rsid w:val="6D270603"/>
    <w:rsid w:val="6DA19528"/>
    <w:rsid w:val="6DD3DB2B"/>
    <w:rsid w:val="6DEDC5C8"/>
    <w:rsid w:val="6DF97993"/>
    <w:rsid w:val="6E65B5C2"/>
    <w:rsid w:val="6E764B22"/>
    <w:rsid w:val="6ED3BCE5"/>
    <w:rsid w:val="6F621E4D"/>
    <w:rsid w:val="6FD4C89E"/>
    <w:rsid w:val="6FDACCC0"/>
    <w:rsid w:val="6FF0C89D"/>
    <w:rsid w:val="701E36DC"/>
    <w:rsid w:val="70441DB3"/>
    <w:rsid w:val="70D2C54E"/>
    <w:rsid w:val="70D79BDF"/>
    <w:rsid w:val="710FB762"/>
    <w:rsid w:val="715A5477"/>
    <w:rsid w:val="716B7F40"/>
    <w:rsid w:val="71A430F1"/>
    <w:rsid w:val="71E7844B"/>
    <w:rsid w:val="72256E43"/>
    <w:rsid w:val="72412F0F"/>
    <w:rsid w:val="72773C1F"/>
    <w:rsid w:val="72F97131"/>
    <w:rsid w:val="73487CCD"/>
    <w:rsid w:val="7373DA17"/>
    <w:rsid w:val="73A01840"/>
    <w:rsid w:val="73C314C3"/>
    <w:rsid w:val="743F3EA6"/>
    <w:rsid w:val="75445056"/>
    <w:rsid w:val="75C65AC1"/>
    <w:rsid w:val="75D477FA"/>
    <w:rsid w:val="767EC724"/>
    <w:rsid w:val="76FEC555"/>
    <w:rsid w:val="773D7F27"/>
    <w:rsid w:val="77749406"/>
    <w:rsid w:val="77DBBC87"/>
    <w:rsid w:val="78205C9F"/>
    <w:rsid w:val="796A1179"/>
    <w:rsid w:val="79D9A663"/>
    <w:rsid w:val="7A57BF58"/>
    <w:rsid w:val="7AE5EE48"/>
    <w:rsid w:val="7B59DEEA"/>
    <w:rsid w:val="7B86A332"/>
    <w:rsid w:val="7C778DDF"/>
    <w:rsid w:val="7CC13E6B"/>
    <w:rsid w:val="7CCDB196"/>
    <w:rsid w:val="7D0D0781"/>
    <w:rsid w:val="7D50EDDF"/>
    <w:rsid w:val="7DC59771"/>
    <w:rsid w:val="7DCE2DE7"/>
    <w:rsid w:val="7DEE16DD"/>
    <w:rsid w:val="7EB6A088"/>
    <w:rsid w:val="7FF6E5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AA79EB52-255C-4983-BDA6-13FEEAE8F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character" w:styleId="UnresolvedMention">
    <w:name w:val="Unresolved Mention"/>
    <w:basedOn w:val="DefaultParagraphFont"/>
    <w:uiPriority w:val="99"/>
    <w:semiHidden/>
    <w:unhideWhenUsed/>
    <w:rsid w:val="004B05C3"/>
    <w:rPr>
      <w:color w:val="605E5C"/>
      <w:shd w:val="clear" w:color="auto" w:fill="E1DFDD"/>
    </w:rPr>
  </w:style>
  <w:style w:type="paragraph" w:styleId="ListParagraph">
    <w:name w:val="List Paragraph"/>
    <w:basedOn w:val="Normal"/>
    <w:uiPriority w:val="34"/>
    <w:qFormat/>
    <w:rsid w:val="008858A4"/>
    <w:pPr>
      <w:ind w:left="720"/>
      <w:contextualSpacing/>
    </w:pPr>
  </w:style>
  <w:style w:type="paragraph" w:customStyle="1" w:styleId="paragraph">
    <w:name w:val="paragraph"/>
    <w:basedOn w:val="Normal"/>
    <w:rsid w:val="00000A40"/>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character" w:customStyle="1" w:styleId="eop">
    <w:name w:val="eop"/>
    <w:basedOn w:val="DefaultParagraphFont"/>
    <w:rsid w:val="00000A40"/>
  </w:style>
  <w:style w:type="character" w:customStyle="1" w:styleId="normaltextrun">
    <w:name w:val="normaltextrun"/>
    <w:basedOn w:val="DefaultParagraphFont"/>
    <w:rsid w:val="00000A40"/>
  </w:style>
  <w:style w:type="paragraph" w:customStyle="1" w:styleId="p1">
    <w:name w:val="p1"/>
    <w:basedOn w:val="Normal"/>
    <w:rsid w:val="00C53888"/>
    <w:pPr>
      <w:spacing w:after="0" w:line="240" w:lineRule="auto"/>
      <w:ind w:left="0" w:firstLine="0"/>
    </w:pPr>
    <w:rPr>
      <w:rFonts w:ascii="Helvetica" w:eastAsia="Times New Roman" w:hAnsi="Helvetica" w:cs="Times New Roman"/>
      <w:kern w:val="0"/>
      <w:sz w:val="17"/>
      <w:szCs w:val="17"/>
      <w:lang w:val="fr-FR" w:eastAsia="fr-FR"/>
      <w14:ligatures w14:val="none"/>
    </w:rPr>
  </w:style>
  <w:style w:type="table" w:styleId="TableGrid0">
    <w:name w:val="Table Grid"/>
    <w:basedOn w:val="TableNormal"/>
    <w:uiPriority w:val="39"/>
    <w:rsid w:val="00124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atabase.ich.org/sites/default/files/M4Q_R1_Guideline.pdf" TargetMode="External"/><Relationship Id="rId18" Type="http://schemas.openxmlformats.org/officeDocument/2006/relationships/hyperlink" Target="https://www.ich.org/page/quality-guidelines" TargetMode="External"/><Relationship Id="rId26" Type="http://schemas.openxmlformats.org/officeDocument/2006/relationships/hyperlink" Target="https://www.ich.org/page/quality-guidelines" TargetMode="External"/><Relationship Id="rId39" Type="http://schemas.openxmlformats.org/officeDocument/2006/relationships/hyperlink" Target="https://www.ich.org/page/quality-guidelines" TargetMode="External"/><Relationship Id="rId21" Type="http://schemas.openxmlformats.org/officeDocument/2006/relationships/hyperlink" Target="https://www.ich.org/page/quality-guidelines" TargetMode="External"/><Relationship Id="rId34" Type="http://schemas.openxmlformats.org/officeDocument/2006/relationships/hyperlink" Target="https://www.ich.org/page/quality-guidelines" TargetMode="External"/><Relationship Id="rId42" Type="http://schemas.openxmlformats.org/officeDocument/2006/relationships/hyperlink" Target="https://www.ich.org/page/quality-guidelines" TargetMode="External"/><Relationship Id="rId47" Type="http://schemas.openxmlformats.org/officeDocument/2006/relationships/footer" Target="footer3.xml"/><Relationship Id="rId50"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ch.org/page/quality-guidelines" TargetMode="External"/><Relationship Id="rId29" Type="http://schemas.openxmlformats.org/officeDocument/2006/relationships/hyperlink" Target="https://www.ema.europa.eu/en/ich-m7-assessment-control-dna-reactive-mutagenic-impurities-pharmaceuticals-limit-potential-carcinogenic-risk-scientific-guideline" TargetMode="External"/><Relationship Id="rId11" Type="http://schemas.openxmlformats.org/officeDocument/2006/relationships/image" Target="media/image1.png"/><Relationship Id="rId24" Type="http://schemas.openxmlformats.org/officeDocument/2006/relationships/hyperlink" Target="https://www.ich.org/page/quality-guidelines" TargetMode="External"/><Relationship Id="rId32" Type="http://schemas.openxmlformats.org/officeDocument/2006/relationships/hyperlink" Target="https://www.ich.org/page/quality-guidelines" TargetMode="External"/><Relationship Id="rId37" Type="http://schemas.openxmlformats.org/officeDocument/2006/relationships/hyperlink" Target="https://www.ema.europa.eu/en/documents/scientific-guideline/adopted-guideline-setting-specifications-related-impurities-antibiotics_en.pdf" TargetMode="External"/><Relationship Id="rId40" Type="http://schemas.openxmlformats.org/officeDocument/2006/relationships/hyperlink" Target="https://www.who.int/publications/m/item/trs986-annex2" TargetMode="External"/><Relationship Id="rId45" Type="http://schemas.openxmlformats.org/officeDocument/2006/relationships/footer" Target="footer2.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ich.org/page/quality-guidelines" TargetMode="External"/><Relationship Id="rId31" Type="http://schemas.openxmlformats.org/officeDocument/2006/relationships/hyperlink" Target="https://www.ich.org/page/quality-guidelines" TargetMode="External"/><Relationship Id="rId44" Type="http://schemas.openxmlformats.org/officeDocument/2006/relationships/footer" Target="footer1.xml"/><Relationship Id="rId52"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ch.org/page/quality-guidelines" TargetMode="External"/><Relationship Id="rId22" Type="http://schemas.openxmlformats.org/officeDocument/2006/relationships/hyperlink" Target="https://www.ich.org/page/quality-guidelines" TargetMode="External"/><Relationship Id="rId27" Type="http://schemas.openxmlformats.org/officeDocument/2006/relationships/hyperlink" Target="https://www.ich.org/page/quality-guidelines" TargetMode="External"/><Relationship Id="rId30" Type="http://schemas.openxmlformats.org/officeDocument/2006/relationships/hyperlink" Target="https://www.ich.org/page/quality-guidelines" TargetMode="External"/><Relationship Id="rId35" Type="http://schemas.openxmlformats.org/officeDocument/2006/relationships/hyperlink" Target="https://www.ich.org/page/quality-guidelines" TargetMode="External"/><Relationship Id="rId43" Type="http://schemas.openxmlformats.org/officeDocument/2006/relationships/header" Target="header1.xm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yperlink" Target="https://cdn.who.int/media/docs/default-source/medicines/norms-and%20standards/guidelines/regulatory-standards/trs986%20annex6.pdf?sfvrsn=ec67d04f_2&amp;download=true" TargetMode="External"/><Relationship Id="rId17" Type="http://schemas.openxmlformats.org/officeDocument/2006/relationships/hyperlink" Target="https://www.ich.org/page/quality-guidelines" TargetMode="External"/><Relationship Id="rId25" Type="http://schemas.openxmlformats.org/officeDocument/2006/relationships/hyperlink" Target="https://www.ich.org/page/quality-guidelines" TargetMode="External"/><Relationship Id="rId33" Type="http://schemas.openxmlformats.org/officeDocument/2006/relationships/hyperlink" Target="https://www.ich.org/page/quality-guidelines" TargetMode="External"/><Relationship Id="rId38" Type="http://schemas.openxmlformats.org/officeDocument/2006/relationships/hyperlink" Target="https://www.ema.europa.eu/en/dissolution-specification-generic-oral-immediate-release-products-scientific-guideline" TargetMode="External"/><Relationship Id="rId46" Type="http://schemas.openxmlformats.org/officeDocument/2006/relationships/header" Target="header2.xml"/><Relationship Id="rId20" Type="http://schemas.openxmlformats.org/officeDocument/2006/relationships/hyperlink" Target="https://www.who.int/publications/m/item/trs953-annex2-appendix1" TargetMode="External"/><Relationship Id="rId41" Type="http://schemas.openxmlformats.org/officeDocument/2006/relationships/hyperlink" Target="https://www.who.int/publications/m/item/pharmaceutical-development-of-multisource-(generic)"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ch.org/page/quality-guidelines" TargetMode="External"/><Relationship Id="rId23" Type="http://schemas.openxmlformats.org/officeDocument/2006/relationships/hyperlink" Target="https://www.ich.org/page/quality-guidelines" TargetMode="External"/><Relationship Id="rId28" Type="http://schemas.openxmlformats.org/officeDocument/2006/relationships/hyperlink" Target="https://www.ema.europa.eu/en/setting-specifications-related-impurities-antibiotics-scientific-guideline" TargetMode="External"/><Relationship Id="rId36" Type="http://schemas.openxmlformats.org/officeDocument/2006/relationships/hyperlink" Target="https://www.ich.org/page/quality-guidelines" TargetMode="External"/><Relationship Id="rId4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8A5FB-5C07-451F-98DF-29AE089CDE2F}">
  <ds:schemaRefs>
    <ds:schemaRef ds:uri="http://schemas.microsoft.com/sharepoint/v3/contenttype/forms"/>
  </ds:schemaRefs>
</ds:datastoreItem>
</file>

<file path=customXml/itemProps2.xml><?xml version="1.0" encoding="utf-8"?>
<ds:datastoreItem xmlns:ds="http://schemas.openxmlformats.org/officeDocument/2006/customXml" ds:itemID="{68F9A99B-6C4F-4632-87B8-A1D8D61A771C}">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customXml/itemProps3.xml><?xml version="1.0" encoding="utf-8"?>
<ds:datastoreItem xmlns:ds="http://schemas.openxmlformats.org/officeDocument/2006/customXml" ds:itemID="{707E069D-4E60-4F6F-9E52-99B8433947F1}">
  <ds:schemaRefs>
    <ds:schemaRef ds:uri="http://schemas.openxmlformats.org/officeDocument/2006/bibliography"/>
  </ds:schemaRefs>
</ds:datastoreItem>
</file>

<file path=customXml/itemProps4.xml><?xml version="1.0" encoding="utf-8"?>
<ds:datastoreItem xmlns:ds="http://schemas.openxmlformats.org/officeDocument/2006/customXml" ds:itemID="{67934BE8-7645-4255-8174-C312782BE178}"/>
</file>

<file path=docProps/app.xml><?xml version="1.0" encoding="utf-8"?>
<Properties xmlns="http://schemas.openxmlformats.org/officeDocument/2006/extended-properties" xmlns:vt="http://schemas.openxmlformats.org/officeDocument/2006/docPropsVTypes">
  <Template>Normal</Template>
  <TotalTime>0</TotalTime>
  <Pages>12</Pages>
  <Words>3394</Words>
  <Characters>19352</Characters>
  <Application>Microsoft Office Word</Application>
  <DocSecurity>0</DocSecurity>
  <Lines>161</Lines>
  <Paragraphs>45</Paragraphs>
  <ScaleCrop>false</ScaleCrop>
  <Company/>
  <LinksUpToDate>false</LinksUpToDate>
  <CharactersWithSpaces>22701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91</cp:revision>
  <dcterms:created xsi:type="dcterms:W3CDTF">2025-12-02T08:11:00Z</dcterms:created>
  <dcterms:modified xsi:type="dcterms:W3CDTF">2026-02-03T16:14:00Z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