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6E8CD7DA" w:rsidR="005C018C" w:rsidRPr="000800E3" w:rsidRDefault="00EA1548" w:rsidP="000800E3">
      <w:pPr>
        <w:spacing w:after="0" w:line="276" w:lineRule="auto"/>
        <w:ind w:left="6" w:hanging="10"/>
        <w:jc w:val="center"/>
        <w:rPr>
          <w:rFonts w:ascii="Gill Sans MT" w:hAnsi="Gill Sans MT"/>
          <w:color w:val="003399"/>
          <w:sz w:val="24"/>
          <w:lang w:val="en-GB"/>
        </w:rPr>
      </w:pPr>
      <w:r w:rsidRPr="000800E3">
        <w:rPr>
          <w:rFonts w:ascii="Gill Sans MT" w:hAnsi="Gill Sans MT"/>
          <w:noProof/>
          <w:sz w:val="24"/>
          <w:lang w:val="en-GB"/>
        </w:rPr>
        <w:drawing>
          <wp:inline distT="0" distB="0" distL="0" distR="0" wp14:anchorId="67576228" wp14:editId="1E5D8E3F">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17A1A500" w14:textId="77777777" w:rsidR="005C018C" w:rsidRPr="000800E3" w:rsidRDefault="005C018C" w:rsidP="000800E3">
      <w:pPr>
        <w:spacing w:after="0" w:line="276" w:lineRule="auto"/>
        <w:ind w:left="6" w:hanging="10"/>
        <w:rPr>
          <w:rFonts w:ascii="Gill Sans MT" w:hAnsi="Gill Sans MT"/>
          <w:color w:val="003399"/>
          <w:sz w:val="24"/>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018C" w:rsidRPr="00EA1548" w14:paraId="4D52DA27" w14:textId="77777777" w:rsidTr="03CFE8C1">
        <w:tc>
          <w:tcPr>
            <w:tcW w:w="9923" w:type="dxa"/>
          </w:tcPr>
          <w:p w14:paraId="307D2DCD" w14:textId="2C41B517" w:rsidR="005C018C" w:rsidRPr="000800E3" w:rsidRDefault="005C018C" w:rsidP="000800E3">
            <w:pPr>
              <w:pStyle w:val="BodyText"/>
              <w:spacing w:before="120" w:after="80" w:line="276" w:lineRule="auto"/>
              <w:jc w:val="center"/>
              <w:rPr>
                <w:rFonts w:ascii="Gill Sans MT" w:hAnsi="Gill Sans MT" w:cs="Times New Roman"/>
                <w:szCs w:val="24"/>
                <w:lang w:val="en-GB"/>
              </w:rPr>
            </w:pPr>
            <w:bookmarkStart w:id="0" w:name="_Hlk215588033"/>
            <w:r w:rsidRPr="000800E3">
              <w:rPr>
                <w:rFonts w:ascii="Gill Sans MT" w:hAnsi="Gill Sans MT" w:cs="Times New Roman"/>
                <w:szCs w:val="24"/>
                <w:lang w:val="en-GB"/>
              </w:rPr>
              <w:t xml:space="preserve">Guideline on </w:t>
            </w:r>
            <w:r w:rsidR="00E7399E" w:rsidRPr="000800E3">
              <w:rPr>
                <w:rFonts w:ascii="Gill Sans MT" w:hAnsi="Gill Sans MT" w:cs="Times New Roman"/>
                <w:szCs w:val="24"/>
                <w:lang w:val="en-GB"/>
              </w:rPr>
              <w:t xml:space="preserve">General Requirements for </w:t>
            </w:r>
            <w:r w:rsidR="00AF0846" w:rsidRPr="000800E3">
              <w:rPr>
                <w:rFonts w:ascii="Gill Sans MT" w:hAnsi="Gill Sans MT" w:cs="Times New Roman"/>
                <w:szCs w:val="24"/>
                <w:lang w:val="en-GB"/>
              </w:rPr>
              <w:t>Bioequivalence</w:t>
            </w:r>
            <w:bookmarkEnd w:id="0"/>
          </w:p>
        </w:tc>
      </w:tr>
    </w:tbl>
    <w:p w14:paraId="387C7B06" w14:textId="77777777" w:rsidR="00EA1548" w:rsidRPr="00EA1548" w:rsidRDefault="00EA1548" w:rsidP="000800E3">
      <w:pPr>
        <w:spacing w:line="276" w:lineRule="auto"/>
        <w:ind w:left="0" w:firstLine="0"/>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EA1548" w:rsidRPr="00EA1548" w14:paraId="1785C012" w14:textId="77777777" w:rsidTr="00E136E1">
        <w:trPr>
          <w:trHeight w:val="300"/>
        </w:trPr>
        <w:tc>
          <w:tcPr>
            <w:tcW w:w="9923" w:type="dxa"/>
          </w:tcPr>
          <w:p w14:paraId="1A8870E5" w14:textId="77777777" w:rsidR="00EA1548" w:rsidRPr="00EA1548" w:rsidRDefault="00EA1548" w:rsidP="00EA1548">
            <w:pPr>
              <w:spacing w:before="120" w:after="80" w:line="276" w:lineRule="auto"/>
              <w:ind w:left="281" w:right="284" w:firstLine="0"/>
              <w:jc w:val="center"/>
              <w:rPr>
                <w:rFonts w:ascii="Gill Sans MT" w:hAnsi="Gill Sans MT"/>
                <w:sz w:val="24"/>
                <w:lang w:val="en-GB"/>
              </w:rPr>
            </w:pPr>
            <w:r w:rsidRPr="00EA1548">
              <w:rPr>
                <w:rFonts w:ascii="Gill Sans MT" w:hAnsi="Gill Sans MT"/>
                <w:sz w:val="24"/>
                <w:lang w:val="en-GB"/>
              </w:rPr>
              <w:t>Document Number: XXX</w:t>
            </w:r>
          </w:p>
          <w:p w14:paraId="7F5FC140" w14:textId="77777777" w:rsidR="00EA1548" w:rsidRPr="00EA1548" w:rsidRDefault="00EA1548" w:rsidP="00EA1548">
            <w:pPr>
              <w:spacing w:before="120" w:after="80" w:line="276" w:lineRule="auto"/>
              <w:ind w:left="281" w:right="284" w:firstLine="0"/>
              <w:jc w:val="center"/>
              <w:rPr>
                <w:rFonts w:ascii="Gill Sans MT" w:hAnsi="Gill Sans MT"/>
                <w:sz w:val="24"/>
                <w:lang w:val="en-GB"/>
              </w:rPr>
            </w:pPr>
            <w:r w:rsidRPr="00EA1548">
              <w:rPr>
                <w:rFonts w:ascii="Gill Sans MT" w:hAnsi="Gill Sans MT"/>
                <w:sz w:val="24"/>
                <w:lang w:val="en-GB"/>
              </w:rPr>
              <w:t>Version: XX</w:t>
            </w:r>
          </w:p>
        </w:tc>
      </w:tr>
    </w:tbl>
    <w:p w14:paraId="2EE6B51E" w14:textId="77777777" w:rsidR="00EA1548" w:rsidRPr="00EA1548" w:rsidRDefault="00EA1548" w:rsidP="00EA1548">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EA1548" w:rsidRPr="00EA1548" w14:paraId="5E986AAD" w14:textId="77777777" w:rsidTr="00E136E1">
        <w:trPr>
          <w:trHeight w:val="300"/>
        </w:trPr>
        <w:tc>
          <w:tcPr>
            <w:tcW w:w="392" w:type="dxa"/>
          </w:tcPr>
          <w:p w14:paraId="053CED66" w14:textId="77777777" w:rsidR="00EA1548" w:rsidRPr="00EA1548" w:rsidRDefault="00EA1548" w:rsidP="00EA1548">
            <w:pPr>
              <w:spacing w:before="120" w:after="40" w:line="276" w:lineRule="auto"/>
              <w:ind w:left="284" w:right="170"/>
              <w:rPr>
                <w:rFonts w:ascii="Gill Sans MT" w:hAnsi="Gill Sans MT"/>
                <w:b/>
                <w:sz w:val="24"/>
                <w:lang w:val="en-GB"/>
              </w:rPr>
            </w:pPr>
          </w:p>
        </w:tc>
        <w:tc>
          <w:tcPr>
            <w:tcW w:w="7229" w:type="dxa"/>
          </w:tcPr>
          <w:p w14:paraId="0D6C03B3" w14:textId="77777777" w:rsidR="00EA1548" w:rsidRPr="00EA1548" w:rsidRDefault="00EA1548" w:rsidP="00EA1548">
            <w:pPr>
              <w:spacing w:before="120" w:after="40" w:line="276" w:lineRule="auto"/>
              <w:ind w:left="284" w:right="170"/>
              <w:rPr>
                <w:rFonts w:ascii="Gill Sans MT" w:hAnsi="Gill Sans MT"/>
                <w:b/>
                <w:sz w:val="24"/>
                <w:lang w:val="en-GB"/>
              </w:rPr>
            </w:pPr>
            <w:r w:rsidRPr="00EA1548">
              <w:rPr>
                <w:rFonts w:ascii="Gill Sans MT" w:hAnsi="Gill Sans MT"/>
                <w:b/>
                <w:sz w:val="24"/>
                <w:lang w:val="en-GB"/>
              </w:rPr>
              <w:t>Steps followed</w:t>
            </w:r>
          </w:p>
        </w:tc>
        <w:tc>
          <w:tcPr>
            <w:tcW w:w="2126" w:type="dxa"/>
          </w:tcPr>
          <w:p w14:paraId="03D6B2DD" w14:textId="77777777" w:rsidR="00EA1548" w:rsidRPr="00EA1548" w:rsidRDefault="00EA1548" w:rsidP="00EA1548">
            <w:pPr>
              <w:spacing w:before="120" w:after="40" w:line="276" w:lineRule="auto"/>
              <w:ind w:right="176"/>
              <w:rPr>
                <w:rFonts w:ascii="Gill Sans MT" w:hAnsi="Gill Sans MT"/>
                <w:b/>
                <w:sz w:val="24"/>
                <w:lang w:val="en-GB"/>
              </w:rPr>
            </w:pPr>
            <w:r w:rsidRPr="00EA1548">
              <w:rPr>
                <w:rFonts w:ascii="Gill Sans MT" w:hAnsi="Gill Sans MT"/>
                <w:b/>
                <w:sz w:val="24"/>
                <w:lang w:val="en-GB"/>
              </w:rPr>
              <w:t>Date</w:t>
            </w:r>
          </w:p>
        </w:tc>
      </w:tr>
      <w:tr w:rsidR="00EA1548" w:rsidRPr="00EA1548" w14:paraId="6F3CFDC3" w14:textId="77777777" w:rsidTr="00E136E1">
        <w:tc>
          <w:tcPr>
            <w:tcW w:w="392" w:type="dxa"/>
          </w:tcPr>
          <w:p w14:paraId="18415700" w14:textId="77777777" w:rsidR="00EA1548" w:rsidRPr="00EA1548" w:rsidRDefault="00EA1548" w:rsidP="00EA1548">
            <w:pPr>
              <w:spacing w:before="120" w:after="40" w:line="276" w:lineRule="auto"/>
              <w:ind w:left="0" w:firstLine="0"/>
              <w:rPr>
                <w:rFonts w:ascii="Gill Sans MT" w:hAnsi="Gill Sans MT"/>
                <w:bCs/>
                <w:sz w:val="24"/>
                <w:lang w:val="en-GB"/>
              </w:rPr>
            </w:pPr>
            <w:r w:rsidRPr="00EA1548">
              <w:rPr>
                <w:rFonts w:ascii="Gill Sans MT" w:hAnsi="Gill Sans MT"/>
                <w:bCs/>
                <w:sz w:val="24"/>
                <w:lang w:val="en-GB"/>
              </w:rPr>
              <w:t>1</w:t>
            </w:r>
          </w:p>
        </w:tc>
        <w:tc>
          <w:tcPr>
            <w:tcW w:w="7229" w:type="dxa"/>
          </w:tcPr>
          <w:p w14:paraId="1DB360E9" w14:textId="77777777" w:rsidR="00EA1548" w:rsidRPr="00EA1548" w:rsidRDefault="00EA1548" w:rsidP="00EA1548">
            <w:pPr>
              <w:spacing w:before="120" w:after="40" w:line="276" w:lineRule="auto"/>
              <w:ind w:left="284" w:right="170"/>
              <w:rPr>
                <w:rFonts w:ascii="Gill Sans MT" w:hAnsi="Gill Sans MT"/>
                <w:bCs/>
                <w:sz w:val="24"/>
                <w:lang w:val="en-GB"/>
              </w:rPr>
            </w:pPr>
            <w:r w:rsidRPr="00EA1548">
              <w:rPr>
                <w:rFonts w:ascii="Gill Sans MT" w:hAnsi="Gill Sans MT"/>
                <w:bCs/>
                <w:sz w:val="24"/>
                <w:lang w:val="en-GB"/>
              </w:rPr>
              <w:t>Initial draft produced by ZAZIBONA Guidance Document Review and Drafting Technical Working Group</w:t>
            </w:r>
          </w:p>
        </w:tc>
        <w:tc>
          <w:tcPr>
            <w:tcW w:w="2126" w:type="dxa"/>
          </w:tcPr>
          <w:p w14:paraId="0599902F" w14:textId="77777777" w:rsidR="00EA1548" w:rsidRPr="00EA1548" w:rsidRDefault="00EA1548" w:rsidP="00EA1548">
            <w:pPr>
              <w:spacing w:before="120" w:after="40" w:line="276" w:lineRule="auto"/>
              <w:ind w:right="176"/>
              <w:rPr>
                <w:rFonts w:ascii="Gill Sans MT" w:hAnsi="Gill Sans MT"/>
                <w:bCs/>
                <w:sz w:val="24"/>
                <w:lang w:val="en-GB"/>
              </w:rPr>
            </w:pPr>
            <w:r w:rsidRPr="00EA1548">
              <w:rPr>
                <w:rFonts w:ascii="Gill Sans MT" w:hAnsi="Gill Sans MT"/>
                <w:bCs/>
                <w:sz w:val="24"/>
                <w:lang w:val="en-GB"/>
              </w:rPr>
              <w:t>November 2025</w:t>
            </w:r>
          </w:p>
        </w:tc>
      </w:tr>
      <w:tr w:rsidR="00EA1548" w:rsidRPr="00EA1548" w14:paraId="61F84BF0" w14:textId="77777777" w:rsidTr="00E136E1">
        <w:trPr>
          <w:trHeight w:val="300"/>
        </w:trPr>
        <w:tc>
          <w:tcPr>
            <w:tcW w:w="392" w:type="dxa"/>
          </w:tcPr>
          <w:p w14:paraId="11E025DE" w14:textId="77777777" w:rsidR="00EA1548" w:rsidRPr="00EA1548" w:rsidRDefault="00EA1548" w:rsidP="00EA1548">
            <w:pPr>
              <w:spacing w:before="120" w:after="40" w:line="276" w:lineRule="auto"/>
              <w:ind w:left="0" w:right="170" w:firstLine="0"/>
              <w:rPr>
                <w:rFonts w:ascii="Gill Sans MT" w:hAnsi="Gill Sans MT"/>
                <w:bCs/>
                <w:sz w:val="24"/>
                <w:lang w:val="en-GB"/>
              </w:rPr>
            </w:pPr>
            <w:r w:rsidRPr="00EA1548">
              <w:rPr>
                <w:rFonts w:ascii="Gill Sans MT" w:hAnsi="Gill Sans MT"/>
                <w:bCs/>
                <w:sz w:val="24"/>
                <w:lang w:val="en-GB"/>
              </w:rPr>
              <w:t>2</w:t>
            </w:r>
          </w:p>
        </w:tc>
        <w:tc>
          <w:tcPr>
            <w:tcW w:w="7229" w:type="dxa"/>
          </w:tcPr>
          <w:p w14:paraId="5F196B38" w14:textId="77777777" w:rsidR="00EA1548" w:rsidRPr="00EA1548" w:rsidRDefault="00EA1548" w:rsidP="00EA1548">
            <w:pPr>
              <w:spacing w:before="120" w:after="40" w:line="276" w:lineRule="auto"/>
              <w:ind w:left="284" w:right="170"/>
              <w:rPr>
                <w:rFonts w:ascii="Gill Sans MT" w:hAnsi="Gill Sans MT"/>
                <w:bCs/>
                <w:sz w:val="24"/>
                <w:lang w:val="en-GB"/>
              </w:rPr>
            </w:pPr>
            <w:r w:rsidRPr="00EA1548">
              <w:rPr>
                <w:rFonts w:ascii="Gill Sans MT" w:hAnsi="Gill Sans MT"/>
                <w:bCs/>
                <w:sz w:val="24"/>
                <w:lang w:val="en-GB"/>
              </w:rPr>
              <w:t>Drafting incorporating ZAZIBONA Participating Member States comments</w:t>
            </w:r>
          </w:p>
        </w:tc>
        <w:tc>
          <w:tcPr>
            <w:tcW w:w="2126" w:type="dxa"/>
          </w:tcPr>
          <w:p w14:paraId="6D333EAC" w14:textId="77777777" w:rsidR="00EA1548" w:rsidRPr="00EA1548" w:rsidRDefault="00EA1548" w:rsidP="00EA1548">
            <w:pPr>
              <w:spacing w:before="120" w:after="40" w:line="276" w:lineRule="auto"/>
              <w:ind w:right="176"/>
              <w:rPr>
                <w:rFonts w:ascii="Gill Sans MT" w:hAnsi="Gill Sans MT"/>
                <w:b/>
                <w:sz w:val="24"/>
                <w:lang w:val="en-GB"/>
              </w:rPr>
            </w:pPr>
          </w:p>
        </w:tc>
      </w:tr>
      <w:tr w:rsidR="00EA1548" w:rsidRPr="00EA1548" w14:paraId="31E9A0F9" w14:textId="77777777" w:rsidTr="00E136E1">
        <w:trPr>
          <w:trHeight w:val="300"/>
        </w:trPr>
        <w:tc>
          <w:tcPr>
            <w:tcW w:w="392" w:type="dxa"/>
          </w:tcPr>
          <w:p w14:paraId="0D860EFB" w14:textId="77777777" w:rsidR="00EA1548" w:rsidRPr="00EA1548" w:rsidRDefault="00EA1548" w:rsidP="00EA1548">
            <w:pPr>
              <w:spacing w:before="120" w:after="40" w:line="276" w:lineRule="auto"/>
              <w:ind w:left="0" w:right="170" w:firstLine="0"/>
              <w:rPr>
                <w:rFonts w:ascii="Gill Sans MT" w:hAnsi="Gill Sans MT"/>
                <w:bCs/>
                <w:sz w:val="24"/>
                <w:lang w:val="en-GB"/>
              </w:rPr>
            </w:pPr>
            <w:r w:rsidRPr="00EA1548">
              <w:rPr>
                <w:rFonts w:ascii="Gill Sans MT" w:hAnsi="Gill Sans MT"/>
                <w:bCs/>
                <w:sz w:val="24"/>
                <w:lang w:val="en-GB"/>
              </w:rPr>
              <w:t>3</w:t>
            </w:r>
          </w:p>
        </w:tc>
        <w:tc>
          <w:tcPr>
            <w:tcW w:w="7229" w:type="dxa"/>
          </w:tcPr>
          <w:p w14:paraId="6AF97006" w14:textId="77777777" w:rsidR="00EA1548" w:rsidRPr="00EA1548" w:rsidRDefault="00EA1548" w:rsidP="00EA1548">
            <w:pPr>
              <w:spacing w:before="120" w:after="40" w:line="276" w:lineRule="auto"/>
              <w:ind w:left="284" w:right="170"/>
              <w:rPr>
                <w:rFonts w:ascii="Gill Sans MT" w:hAnsi="Gill Sans MT"/>
                <w:bCs/>
                <w:sz w:val="24"/>
                <w:lang w:val="en-GB"/>
              </w:rPr>
            </w:pPr>
            <w:r w:rsidRPr="00EA1548">
              <w:rPr>
                <w:rFonts w:ascii="Gill Sans MT" w:hAnsi="Gill Sans MT"/>
                <w:bCs/>
                <w:sz w:val="24"/>
                <w:lang w:val="en-GB"/>
              </w:rPr>
              <w:t>Drafting incorporating Stakeholders comments</w:t>
            </w:r>
          </w:p>
        </w:tc>
        <w:tc>
          <w:tcPr>
            <w:tcW w:w="2126" w:type="dxa"/>
          </w:tcPr>
          <w:p w14:paraId="7E4B82E6" w14:textId="77777777" w:rsidR="00EA1548" w:rsidRPr="00EA1548" w:rsidRDefault="00EA1548" w:rsidP="00EA1548">
            <w:pPr>
              <w:spacing w:before="120" w:after="40" w:line="276" w:lineRule="auto"/>
              <w:ind w:right="176"/>
              <w:rPr>
                <w:rFonts w:ascii="Gill Sans MT" w:hAnsi="Gill Sans MT"/>
                <w:b/>
                <w:sz w:val="24"/>
                <w:lang w:val="en-GB"/>
              </w:rPr>
            </w:pPr>
          </w:p>
        </w:tc>
      </w:tr>
      <w:tr w:rsidR="00EA1548" w:rsidRPr="00EA1548" w14:paraId="66791971" w14:textId="77777777" w:rsidTr="00E136E1">
        <w:trPr>
          <w:trHeight w:val="300"/>
        </w:trPr>
        <w:tc>
          <w:tcPr>
            <w:tcW w:w="392" w:type="dxa"/>
          </w:tcPr>
          <w:p w14:paraId="6AD14E31" w14:textId="77777777" w:rsidR="00EA1548" w:rsidRPr="00EA1548" w:rsidRDefault="00EA1548" w:rsidP="00EA1548">
            <w:pPr>
              <w:spacing w:before="120" w:after="40" w:line="276" w:lineRule="auto"/>
              <w:ind w:left="0" w:right="170" w:firstLine="0"/>
              <w:rPr>
                <w:rFonts w:ascii="Gill Sans MT" w:hAnsi="Gill Sans MT"/>
                <w:bCs/>
                <w:sz w:val="24"/>
                <w:lang w:val="en-GB"/>
              </w:rPr>
            </w:pPr>
            <w:r w:rsidRPr="00EA1548">
              <w:rPr>
                <w:rFonts w:ascii="Gill Sans MT" w:hAnsi="Gill Sans MT"/>
                <w:bCs/>
                <w:sz w:val="24"/>
                <w:lang w:val="en-GB"/>
              </w:rPr>
              <w:t>4</w:t>
            </w:r>
          </w:p>
        </w:tc>
        <w:tc>
          <w:tcPr>
            <w:tcW w:w="7229" w:type="dxa"/>
          </w:tcPr>
          <w:p w14:paraId="7AB1908E" w14:textId="77777777" w:rsidR="00EA1548" w:rsidRPr="00EA1548" w:rsidRDefault="00EA1548" w:rsidP="00EA1548">
            <w:pPr>
              <w:spacing w:before="120" w:after="40" w:line="276" w:lineRule="auto"/>
              <w:ind w:left="284" w:right="170"/>
              <w:rPr>
                <w:rFonts w:ascii="Gill Sans MT" w:hAnsi="Gill Sans MT"/>
                <w:bCs/>
                <w:sz w:val="24"/>
                <w:lang w:val="en-GB"/>
              </w:rPr>
            </w:pPr>
            <w:r w:rsidRPr="00EA1548">
              <w:rPr>
                <w:rFonts w:ascii="Gill Sans MT" w:hAnsi="Gill Sans MT"/>
                <w:bCs/>
                <w:sz w:val="24"/>
                <w:lang w:val="en-GB"/>
              </w:rPr>
              <w:t xml:space="preserve">Final draft incorporating ZAZIBONA Participating Member States and Stakeholder comments </w:t>
            </w:r>
          </w:p>
        </w:tc>
        <w:tc>
          <w:tcPr>
            <w:tcW w:w="2126" w:type="dxa"/>
          </w:tcPr>
          <w:p w14:paraId="09038104" w14:textId="77777777" w:rsidR="00EA1548" w:rsidRPr="00EA1548" w:rsidRDefault="00EA1548" w:rsidP="00EA1548">
            <w:pPr>
              <w:spacing w:before="120" w:after="40" w:line="276" w:lineRule="auto"/>
              <w:ind w:right="176"/>
              <w:rPr>
                <w:rFonts w:ascii="Gill Sans MT" w:hAnsi="Gill Sans MT"/>
                <w:b/>
                <w:sz w:val="24"/>
                <w:lang w:val="en-GB"/>
              </w:rPr>
            </w:pPr>
          </w:p>
        </w:tc>
      </w:tr>
      <w:tr w:rsidR="00EA1548" w:rsidRPr="00EA1548" w14:paraId="5BA536D2" w14:textId="77777777" w:rsidTr="00E136E1">
        <w:trPr>
          <w:trHeight w:val="300"/>
        </w:trPr>
        <w:tc>
          <w:tcPr>
            <w:tcW w:w="392" w:type="dxa"/>
            <w:tcBorders>
              <w:top w:val="dotted" w:sz="4" w:space="0" w:color="auto"/>
              <w:bottom w:val="dotted" w:sz="4" w:space="0" w:color="auto"/>
            </w:tcBorders>
          </w:tcPr>
          <w:p w14:paraId="4ED1FD95" w14:textId="77777777" w:rsidR="00EA1548" w:rsidRPr="00EA1548" w:rsidRDefault="00EA1548" w:rsidP="00EA1548">
            <w:pPr>
              <w:spacing w:before="60" w:after="60" w:line="276" w:lineRule="auto"/>
              <w:ind w:left="0" w:right="284" w:firstLine="0"/>
              <w:rPr>
                <w:rFonts w:ascii="Gill Sans MT" w:hAnsi="Gill Sans MT"/>
                <w:bCs/>
                <w:sz w:val="24"/>
                <w:lang w:val="en-GB"/>
              </w:rPr>
            </w:pPr>
            <w:r w:rsidRPr="00EA1548">
              <w:rPr>
                <w:rFonts w:ascii="Gill Sans MT" w:hAnsi="Gill Sans MT"/>
                <w:bCs/>
                <w:sz w:val="24"/>
                <w:lang w:val="en-GB"/>
              </w:rPr>
              <w:t>5</w:t>
            </w:r>
          </w:p>
        </w:tc>
        <w:tc>
          <w:tcPr>
            <w:tcW w:w="7229" w:type="dxa"/>
            <w:tcBorders>
              <w:top w:val="dotted" w:sz="4" w:space="0" w:color="auto"/>
              <w:bottom w:val="dotted" w:sz="4" w:space="0" w:color="auto"/>
            </w:tcBorders>
          </w:tcPr>
          <w:p w14:paraId="68FA2ECB" w14:textId="77777777" w:rsidR="00EA1548" w:rsidRPr="00EA1548" w:rsidRDefault="00EA1548" w:rsidP="00EA1548">
            <w:pPr>
              <w:spacing w:before="60" w:after="60" w:line="276" w:lineRule="auto"/>
              <w:ind w:left="284" w:right="284"/>
              <w:rPr>
                <w:rFonts w:ascii="Gill Sans MT" w:hAnsi="Gill Sans MT"/>
                <w:bCs/>
                <w:sz w:val="24"/>
                <w:lang w:val="en-GB"/>
              </w:rPr>
            </w:pPr>
            <w:r w:rsidRPr="00EA1548">
              <w:rPr>
                <w:rFonts w:ascii="Gill Sans MT" w:hAnsi="Gill Sans MT"/>
                <w:bCs/>
                <w:sz w:val="24"/>
                <w:lang w:val="en-GB"/>
              </w:rPr>
              <w:t>Adoption date</w:t>
            </w:r>
          </w:p>
        </w:tc>
        <w:tc>
          <w:tcPr>
            <w:tcW w:w="2126" w:type="dxa"/>
            <w:tcBorders>
              <w:top w:val="dotted" w:sz="4" w:space="0" w:color="auto"/>
              <w:bottom w:val="dotted" w:sz="4" w:space="0" w:color="auto"/>
            </w:tcBorders>
          </w:tcPr>
          <w:p w14:paraId="60E210A3" w14:textId="77777777" w:rsidR="00EA1548" w:rsidRPr="00EA1548" w:rsidRDefault="00EA1548" w:rsidP="00EA1548">
            <w:pPr>
              <w:spacing w:before="40" w:after="40" w:line="276" w:lineRule="auto"/>
              <w:ind w:right="170"/>
              <w:jc w:val="right"/>
              <w:rPr>
                <w:rFonts w:ascii="Gill Sans MT" w:hAnsi="Gill Sans MT"/>
                <w:strike/>
                <w:sz w:val="24"/>
                <w:lang w:val="en-GB"/>
              </w:rPr>
            </w:pPr>
          </w:p>
        </w:tc>
      </w:tr>
      <w:tr w:rsidR="00EA1548" w:rsidRPr="00EA1548" w14:paraId="118A5775" w14:textId="77777777" w:rsidTr="00E136E1">
        <w:trPr>
          <w:trHeight w:val="300"/>
        </w:trPr>
        <w:tc>
          <w:tcPr>
            <w:tcW w:w="392" w:type="dxa"/>
            <w:tcBorders>
              <w:top w:val="dotted" w:sz="4" w:space="0" w:color="auto"/>
              <w:bottom w:val="dotted" w:sz="4" w:space="0" w:color="auto"/>
            </w:tcBorders>
          </w:tcPr>
          <w:p w14:paraId="6C350EEC" w14:textId="77777777" w:rsidR="00EA1548" w:rsidRPr="00EA1548" w:rsidRDefault="00EA1548" w:rsidP="00EA1548">
            <w:pPr>
              <w:spacing w:before="60" w:after="40" w:line="276" w:lineRule="auto"/>
              <w:ind w:left="0" w:right="284" w:firstLine="0"/>
              <w:rPr>
                <w:rFonts w:ascii="Gill Sans MT" w:hAnsi="Gill Sans MT"/>
                <w:bCs/>
                <w:sz w:val="24"/>
                <w:lang w:val="en-GB"/>
              </w:rPr>
            </w:pPr>
            <w:r w:rsidRPr="00EA1548">
              <w:rPr>
                <w:rFonts w:ascii="Gill Sans MT" w:hAnsi="Gill Sans MT"/>
                <w:bCs/>
                <w:sz w:val="24"/>
                <w:lang w:val="en-GB"/>
              </w:rPr>
              <w:t>6</w:t>
            </w:r>
          </w:p>
        </w:tc>
        <w:tc>
          <w:tcPr>
            <w:tcW w:w="7229" w:type="dxa"/>
            <w:tcBorders>
              <w:top w:val="dotted" w:sz="4" w:space="0" w:color="auto"/>
              <w:bottom w:val="dotted" w:sz="4" w:space="0" w:color="auto"/>
            </w:tcBorders>
          </w:tcPr>
          <w:p w14:paraId="4A8A5E82" w14:textId="77777777" w:rsidR="00EA1548" w:rsidRPr="00EA1548" w:rsidRDefault="00EA1548" w:rsidP="00EA1548">
            <w:pPr>
              <w:spacing w:before="60" w:after="40" w:line="276" w:lineRule="auto"/>
              <w:ind w:left="284" w:right="284"/>
              <w:rPr>
                <w:rFonts w:ascii="Gill Sans MT" w:hAnsi="Gill Sans MT"/>
                <w:bCs/>
                <w:sz w:val="24"/>
                <w:lang w:val="en-GB"/>
              </w:rPr>
            </w:pPr>
            <w:r w:rsidRPr="00EA1548">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395874EC" w14:textId="77777777" w:rsidR="00EA1548" w:rsidRPr="00EA1548" w:rsidRDefault="00EA1548" w:rsidP="00EA1548">
            <w:pPr>
              <w:spacing w:before="40" w:after="40" w:line="276" w:lineRule="auto"/>
              <w:ind w:right="170"/>
              <w:jc w:val="right"/>
              <w:rPr>
                <w:rFonts w:ascii="Gill Sans MT" w:hAnsi="Gill Sans MT"/>
                <w:sz w:val="24"/>
                <w:lang w:val="en-GB"/>
              </w:rPr>
            </w:pPr>
          </w:p>
        </w:tc>
      </w:tr>
      <w:tr w:rsidR="00EA1548" w:rsidRPr="00EA1548" w14:paraId="3473086B" w14:textId="77777777" w:rsidTr="00E136E1">
        <w:trPr>
          <w:trHeight w:val="300"/>
        </w:trPr>
        <w:tc>
          <w:tcPr>
            <w:tcW w:w="392" w:type="dxa"/>
            <w:tcBorders>
              <w:top w:val="dotted" w:sz="4" w:space="0" w:color="auto"/>
              <w:bottom w:val="dotted" w:sz="4" w:space="0" w:color="auto"/>
            </w:tcBorders>
          </w:tcPr>
          <w:p w14:paraId="0349CF31" w14:textId="77777777" w:rsidR="00EA1548" w:rsidRPr="00EA1548" w:rsidRDefault="00EA1548" w:rsidP="00EA1548">
            <w:pPr>
              <w:spacing w:before="60" w:after="40" w:line="276" w:lineRule="auto"/>
              <w:ind w:left="0" w:right="284" w:firstLine="0"/>
              <w:rPr>
                <w:rFonts w:ascii="Gill Sans MT" w:hAnsi="Gill Sans MT"/>
                <w:bCs/>
                <w:sz w:val="24"/>
                <w:lang w:val="en-GB"/>
              </w:rPr>
            </w:pPr>
            <w:r w:rsidRPr="00EA1548">
              <w:rPr>
                <w:rFonts w:ascii="Gill Sans MT" w:hAnsi="Gill Sans MT"/>
                <w:bCs/>
                <w:sz w:val="24"/>
                <w:lang w:val="en-GB"/>
              </w:rPr>
              <w:t>7</w:t>
            </w:r>
          </w:p>
        </w:tc>
        <w:tc>
          <w:tcPr>
            <w:tcW w:w="7229" w:type="dxa"/>
            <w:tcBorders>
              <w:top w:val="dotted" w:sz="4" w:space="0" w:color="auto"/>
              <w:bottom w:val="dotted" w:sz="4" w:space="0" w:color="auto"/>
            </w:tcBorders>
          </w:tcPr>
          <w:p w14:paraId="419E3A4E" w14:textId="77777777" w:rsidR="00EA1548" w:rsidRPr="00EA1548" w:rsidRDefault="00EA1548" w:rsidP="00EA1548">
            <w:pPr>
              <w:spacing w:before="60" w:after="40" w:line="276" w:lineRule="auto"/>
              <w:ind w:left="284" w:right="284"/>
              <w:rPr>
                <w:rFonts w:ascii="Gill Sans MT" w:hAnsi="Gill Sans MT"/>
                <w:bCs/>
                <w:sz w:val="24"/>
                <w:lang w:val="en-GB"/>
              </w:rPr>
            </w:pPr>
            <w:r w:rsidRPr="00EA1548">
              <w:rPr>
                <w:rFonts w:ascii="Gill Sans MT" w:hAnsi="Gill Sans MT"/>
                <w:bCs/>
                <w:sz w:val="24"/>
                <w:lang w:val="en-GB"/>
              </w:rPr>
              <w:t>Implementation Period</w:t>
            </w:r>
          </w:p>
        </w:tc>
        <w:tc>
          <w:tcPr>
            <w:tcW w:w="2126" w:type="dxa"/>
            <w:tcBorders>
              <w:top w:val="dotted" w:sz="4" w:space="0" w:color="auto"/>
              <w:bottom w:val="dotted" w:sz="4" w:space="0" w:color="auto"/>
            </w:tcBorders>
          </w:tcPr>
          <w:p w14:paraId="6E2FA252" w14:textId="77777777" w:rsidR="00EA1548" w:rsidRPr="00EA1548" w:rsidRDefault="00EA1548" w:rsidP="00EA1548">
            <w:pPr>
              <w:spacing w:before="40" w:after="40" w:line="276" w:lineRule="auto"/>
              <w:ind w:right="170"/>
              <w:jc w:val="right"/>
              <w:rPr>
                <w:rFonts w:ascii="Gill Sans MT" w:hAnsi="Gill Sans MT"/>
                <w:sz w:val="24"/>
                <w:lang w:val="en-GB"/>
              </w:rPr>
            </w:pPr>
          </w:p>
        </w:tc>
      </w:tr>
      <w:tr w:rsidR="00EA1548" w:rsidRPr="00EA1548" w14:paraId="10A69B7B" w14:textId="77777777" w:rsidTr="00E136E1">
        <w:trPr>
          <w:trHeight w:val="300"/>
        </w:trPr>
        <w:tc>
          <w:tcPr>
            <w:tcW w:w="392" w:type="dxa"/>
            <w:tcBorders>
              <w:top w:val="dotted" w:sz="4" w:space="0" w:color="auto"/>
              <w:bottom w:val="dotted" w:sz="4" w:space="0" w:color="auto"/>
            </w:tcBorders>
          </w:tcPr>
          <w:p w14:paraId="3C16C89D" w14:textId="77777777" w:rsidR="00EA1548" w:rsidRPr="00EA1548" w:rsidRDefault="00EA1548" w:rsidP="00EA1548">
            <w:pPr>
              <w:spacing w:before="60" w:after="40" w:line="276" w:lineRule="auto"/>
              <w:ind w:left="0" w:right="284" w:firstLine="0"/>
              <w:rPr>
                <w:rFonts w:ascii="Gill Sans MT" w:hAnsi="Gill Sans MT"/>
                <w:bCs/>
                <w:sz w:val="24"/>
                <w:lang w:val="en-GB"/>
              </w:rPr>
            </w:pPr>
            <w:r w:rsidRPr="00EA1548">
              <w:rPr>
                <w:rFonts w:ascii="Gill Sans MT" w:hAnsi="Gill Sans MT"/>
                <w:bCs/>
                <w:sz w:val="24"/>
                <w:lang w:val="en-GB"/>
              </w:rPr>
              <w:t>8</w:t>
            </w:r>
          </w:p>
        </w:tc>
        <w:tc>
          <w:tcPr>
            <w:tcW w:w="7229" w:type="dxa"/>
            <w:tcBorders>
              <w:top w:val="dotted" w:sz="4" w:space="0" w:color="auto"/>
              <w:bottom w:val="dotted" w:sz="4" w:space="0" w:color="auto"/>
            </w:tcBorders>
          </w:tcPr>
          <w:p w14:paraId="511AFD69" w14:textId="77777777" w:rsidR="00EA1548" w:rsidRPr="00EA1548" w:rsidRDefault="00EA1548" w:rsidP="00EA1548">
            <w:pPr>
              <w:spacing w:before="60" w:after="40" w:line="276" w:lineRule="auto"/>
              <w:ind w:left="284" w:right="284"/>
              <w:rPr>
                <w:rFonts w:ascii="Gill Sans MT" w:hAnsi="Gill Sans MT"/>
                <w:bCs/>
                <w:sz w:val="24"/>
                <w:lang w:val="en-GB"/>
              </w:rPr>
            </w:pPr>
            <w:r w:rsidRPr="00EA1548">
              <w:rPr>
                <w:rFonts w:ascii="Gill Sans MT" w:hAnsi="Gill Sans MT"/>
                <w:bCs/>
                <w:sz w:val="24"/>
                <w:lang w:val="en-GB"/>
              </w:rPr>
              <w:t>Transition Period</w:t>
            </w:r>
          </w:p>
        </w:tc>
        <w:tc>
          <w:tcPr>
            <w:tcW w:w="2126" w:type="dxa"/>
            <w:tcBorders>
              <w:top w:val="dotted" w:sz="4" w:space="0" w:color="auto"/>
              <w:bottom w:val="dotted" w:sz="4" w:space="0" w:color="auto"/>
            </w:tcBorders>
          </w:tcPr>
          <w:p w14:paraId="13787ED6" w14:textId="77777777" w:rsidR="00EA1548" w:rsidRPr="00EA1548" w:rsidRDefault="00EA1548" w:rsidP="00EA1548">
            <w:pPr>
              <w:spacing w:before="40" w:after="40" w:line="276" w:lineRule="auto"/>
              <w:ind w:right="170"/>
              <w:jc w:val="right"/>
              <w:rPr>
                <w:rFonts w:ascii="Gill Sans MT" w:hAnsi="Gill Sans MT"/>
                <w:sz w:val="24"/>
                <w:lang w:val="en-GB"/>
              </w:rPr>
            </w:pPr>
          </w:p>
        </w:tc>
      </w:tr>
    </w:tbl>
    <w:p w14:paraId="62A778F3" w14:textId="77777777" w:rsidR="00EA1548" w:rsidRPr="00EA1548" w:rsidRDefault="00EA1548" w:rsidP="00EA1548">
      <w:pPr>
        <w:spacing w:line="276" w:lineRule="auto"/>
        <w:rPr>
          <w:rFonts w:ascii="Gill Sans MT" w:hAnsi="Gill Sans MT"/>
          <w:b/>
          <w:sz w:val="24"/>
          <w:lang w:val="en-GB"/>
        </w:rPr>
      </w:pPr>
    </w:p>
    <w:p w14:paraId="4DD7F61E" w14:textId="77777777" w:rsidR="00EA1548" w:rsidRPr="000800E3" w:rsidRDefault="00EA1548" w:rsidP="00EA1548">
      <w:pPr>
        <w:spacing w:after="0" w:line="276" w:lineRule="auto"/>
        <w:ind w:left="10" w:hanging="10"/>
        <w:jc w:val="center"/>
        <w:rPr>
          <w:rFonts w:ascii="Gill Sans MT" w:hAnsi="Gill Sans MT"/>
          <w:color w:val="003399"/>
          <w:sz w:val="24"/>
          <w:lang w:val="en-GB"/>
        </w:rPr>
      </w:pPr>
      <w:r w:rsidRPr="000800E3">
        <w:rPr>
          <w:rFonts w:ascii="Gill Sans MT" w:hAnsi="Gill Sans MT"/>
          <w:color w:val="003399"/>
          <w:sz w:val="24"/>
          <w:lang w:val="en-GB"/>
        </w:rPr>
        <w:t>Draft for Comments</w:t>
      </w:r>
    </w:p>
    <w:p w14:paraId="7109AFB1" w14:textId="77777777" w:rsidR="00EA1548" w:rsidRPr="00EA1548" w:rsidRDefault="00EA1548" w:rsidP="00EA1548">
      <w:pPr>
        <w:spacing w:after="0" w:line="276" w:lineRule="auto"/>
        <w:ind w:left="6" w:hanging="10"/>
        <w:rPr>
          <w:rFonts w:ascii="Gill Sans MT" w:hAnsi="Gill Sans MT"/>
          <w:sz w:val="24"/>
          <w:lang w:val="en-GB"/>
        </w:rPr>
      </w:pPr>
    </w:p>
    <w:p w14:paraId="1BA60E7E" w14:textId="77777777" w:rsidR="00EA1548" w:rsidRPr="00EA1548" w:rsidRDefault="00EA1548" w:rsidP="00EA1548">
      <w:pPr>
        <w:spacing w:after="329" w:line="276" w:lineRule="auto"/>
        <w:ind w:left="12" w:firstLine="0"/>
        <w:jc w:val="both"/>
        <w:rPr>
          <w:rFonts w:ascii="Gill Sans MT" w:hAnsi="Gill Sans MT"/>
          <w:sz w:val="24"/>
          <w:lang w:val="en-GB"/>
        </w:rPr>
      </w:pPr>
      <w:r w:rsidRPr="00EA1548">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4C86AE8C" w14:textId="77777777" w:rsidR="00EA1548" w:rsidRPr="00EA1548" w:rsidRDefault="00EA1548" w:rsidP="00EA1548">
      <w:pPr>
        <w:spacing w:after="329" w:line="276" w:lineRule="auto"/>
        <w:ind w:left="12" w:firstLine="0"/>
        <w:jc w:val="both"/>
        <w:rPr>
          <w:rFonts w:ascii="Gill Sans MT" w:hAnsi="Gill Sans MT"/>
          <w:sz w:val="24"/>
          <w:lang w:val="en-GB"/>
        </w:rPr>
      </w:pPr>
      <w:r w:rsidRPr="00EA1548">
        <w:rPr>
          <w:rFonts w:ascii="Gill Sans MT" w:hAnsi="Gill Sans MT"/>
          <w:sz w:val="24"/>
          <w:lang w:val="en-GB"/>
        </w:rPr>
        <w:t xml:space="preserve"> Comments should be compiled on the accompanying table-for-comments.</w:t>
      </w:r>
      <w:r w:rsidRPr="00EA1548">
        <w:rPr>
          <w:rFonts w:ascii="Gill Sans MT" w:eastAsia="Times New Roman" w:hAnsi="Gill Sans MT" w:cs="Times New Roman"/>
          <w:b/>
          <w:sz w:val="24"/>
          <w:lang w:val="en-GB"/>
        </w:rPr>
        <w:t xml:space="preserve"> </w:t>
      </w:r>
    </w:p>
    <w:p w14:paraId="0BE2E488" w14:textId="77777777" w:rsidR="00EA1548" w:rsidRPr="00EA1548" w:rsidRDefault="00EA1548" w:rsidP="000800E3">
      <w:pPr>
        <w:spacing w:after="160" w:line="276" w:lineRule="auto"/>
        <w:ind w:left="0" w:firstLine="0"/>
        <w:rPr>
          <w:rFonts w:ascii="Gill Sans MT" w:hAnsi="Gill Sans MT"/>
          <w:b/>
          <w:sz w:val="24"/>
          <w:lang w:val="en-GB"/>
        </w:rPr>
      </w:pPr>
      <w:r w:rsidRPr="00EA1548">
        <w:rPr>
          <w:rFonts w:ascii="Gill Sans MT" w:hAnsi="Gill Sans MT"/>
          <w:b/>
          <w:sz w:val="24"/>
          <w:lang w:val="en-GB"/>
        </w:rPr>
        <w:br w:type="page"/>
      </w:r>
    </w:p>
    <w:p w14:paraId="65E3023B" w14:textId="4C484744" w:rsidR="00EA1548" w:rsidRPr="00EA1548" w:rsidRDefault="00EA1548" w:rsidP="00EA1548">
      <w:pPr>
        <w:spacing w:after="0" w:line="276" w:lineRule="auto"/>
        <w:ind w:left="7" w:hanging="10"/>
        <w:jc w:val="both"/>
        <w:rPr>
          <w:rFonts w:ascii="Gill Sans MT" w:hAnsi="Gill Sans MT"/>
          <w:b/>
          <w:sz w:val="24"/>
          <w:lang w:val="en-GB"/>
        </w:rPr>
      </w:pPr>
      <w:r w:rsidRPr="00EA1548">
        <w:rPr>
          <w:rFonts w:ascii="Gill Sans MT" w:hAnsi="Gill Sans MT"/>
          <w:b/>
          <w:sz w:val="24"/>
          <w:lang w:val="en-GB"/>
        </w:rPr>
        <w:lastRenderedPageBreak/>
        <w:t xml:space="preserve">Document History </w:t>
      </w:r>
    </w:p>
    <w:p w14:paraId="50D97550" w14:textId="77777777" w:rsidR="00EA1548" w:rsidRPr="00EA1548" w:rsidRDefault="00EA1548" w:rsidP="00EA1548">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EA1548" w:rsidRPr="00EA1548" w14:paraId="2FEEC871" w14:textId="77777777" w:rsidTr="00E136E1">
        <w:tc>
          <w:tcPr>
            <w:tcW w:w="1169" w:type="dxa"/>
          </w:tcPr>
          <w:p w14:paraId="41765CC6" w14:textId="77777777" w:rsidR="00EA1548" w:rsidRPr="00EA1548" w:rsidRDefault="00EA1548" w:rsidP="00EA1548">
            <w:pPr>
              <w:spacing w:after="0" w:line="276" w:lineRule="auto"/>
              <w:ind w:left="0" w:firstLine="0"/>
              <w:jc w:val="both"/>
              <w:rPr>
                <w:rFonts w:ascii="Gill Sans MT" w:hAnsi="Gill Sans MT"/>
                <w:b/>
                <w:bCs/>
                <w:sz w:val="24"/>
                <w:lang w:val="en-GB"/>
              </w:rPr>
            </w:pPr>
            <w:r w:rsidRPr="00EA1548">
              <w:rPr>
                <w:rFonts w:ascii="Gill Sans MT" w:hAnsi="Gill Sans MT"/>
                <w:b/>
                <w:bCs/>
                <w:sz w:val="24"/>
                <w:lang w:val="en-GB"/>
              </w:rPr>
              <w:t>Revision Number</w:t>
            </w:r>
          </w:p>
        </w:tc>
        <w:tc>
          <w:tcPr>
            <w:tcW w:w="1938" w:type="dxa"/>
          </w:tcPr>
          <w:p w14:paraId="74D1E22E" w14:textId="77777777" w:rsidR="00EA1548" w:rsidRPr="00EA1548" w:rsidRDefault="00EA1548" w:rsidP="00EA1548">
            <w:pPr>
              <w:spacing w:after="0" w:line="276" w:lineRule="auto"/>
              <w:ind w:left="0" w:firstLine="0"/>
              <w:jc w:val="both"/>
              <w:rPr>
                <w:rFonts w:ascii="Gill Sans MT" w:hAnsi="Gill Sans MT"/>
                <w:b/>
                <w:bCs/>
                <w:sz w:val="24"/>
                <w:lang w:val="en-GB"/>
              </w:rPr>
            </w:pPr>
            <w:r w:rsidRPr="00EA1548">
              <w:rPr>
                <w:rFonts w:ascii="Gill Sans MT" w:hAnsi="Gill Sans MT"/>
                <w:b/>
                <w:bCs/>
                <w:sz w:val="24"/>
                <w:lang w:val="en-GB"/>
              </w:rPr>
              <w:t>Date implemented</w:t>
            </w:r>
          </w:p>
        </w:tc>
        <w:tc>
          <w:tcPr>
            <w:tcW w:w="5902" w:type="dxa"/>
          </w:tcPr>
          <w:p w14:paraId="32DEFF24" w14:textId="77777777" w:rsidR="00EA1548" w:rsidRPr="00EA1548" w:rsidRDefault="00EA1548" w:rsidP="00EA1548">
            <w:pPr>
              <w:spacing w:line="276" w:lineRule="auto"/>
              <w:jc w:val="both"/>
              <w:rPr>
                <w:rFonts w:ascii="Gill Sans MT" w:eastAsia="Calibri" w:hAnsi="Gill Sans MT"/>
                <w:b/>
                <w:bCs/>
                <w:sz w:val="24"/>
                <w:lang w:val="en-GB"/>
              </w:rPr>
            </w:pPr>
            <w:r w:rsidRPr="00EA1548">
              <w:rPr>
                <w:rFonts w:ascii="Gill Sans MT" w:eastAsia="Calibri" w:hAnsi="Gill Sans MT"/>
                <w:b/>
                <w:bCs/>
                <w:sz w:val="24"/>
                <w:lang w:val="en-GB"/>
              </w:rPr>
              <w:t>Reason for Change and Amendments</w:t>
            </w:r>
          </w:p>
        </w:tc>
      </w:tr>
      <w:tr w:rsidR="00EA1548" w:rsidRPr="00EA1548" w14:paraId="4C8522F7" w14:textId="77777777" w:rsidTr="00E136E1">
        <w:tc>
          <w:tcPr>
            <w:tcW w:w="1169" w:type="dxa"/>
          </w:tcPr>
          <w:p w14:paraId="768C7203" w14:textId="77777777" w:rsidR="00EA1548" w:rsidRPr="00EA1548" w:rsidRDefault="00EA1548" w:rsidP="00EA1548">
            <w:pPr>
              <w:spacing w:after="0" w:line="276" w:lineRule="auto"/>
              <w:ind w:left="0" w:firstLine="0"/>
              <w:jc w:val="both"/>
              <w:rPr>
                <w:rFonts w:ascii="Gill Sans MT" w:hAnsi="Gill Sans MT"/>
                <w:sz w:val="24"/>
                <w:lang w:val="en-GB"/>
              </w:rPr>
            </w:pPr>
          </w:p>
        </w:tc>
        <w:tc>
          <w:tcPr>
            <w:tcW w:w="1938" w:type="dxa"/>
          </w:tcPr>
          <w:p w14:paraId="04FECA90" w14:textId="77777777" w:rsidR="00EA1548" w:rsidRPr="00EA1548" w:rsidRDefault="00EA1548" w:rsidP="00EA1548">
            <w:pPr>
              <w:spacing w:after="0" w:line="276" w:lineRule="auto"/>
              <w:ind w:left="0" w:firstLine="0"/>
              <w:jc w:val="both"/>
              <w:rPr>
                <w:rFonts w:ascii="Gill Sans MT" w:hAnsi="Gill Sans MT"/>
                <w:sz w:val="24"/>
                <w:lang w:val="en-GB"/>
              </w:rPr>
            </w:pPr>
          </w:p>
        </w:tc>
        <w:tc>
          <w:tcPr>
            <w:tcW w:w="5902" w:type="dxa"/>
          </w:tcPr>
          <w:p w14:paraId="3DADB853" w14:textId="77777777" w:rsidR="00EA1548" w:rsidRPr="00EA1548" w:rsidRDefault="00EA1548" w:rsidP="00EA1548">
            <w:pPr>
              <w:spacing w:after="0" w:line="276" w:lineRule="auto"/>
              <w:ind w:left="0" w:firstLine="0"/>
              <w:jc w:val="both"/>
              <w:rPr>
                <w:rFonts w:ascii="Gill Sans MT" w:hAnsi="Gill Sans MT"/>
                <w:sz w:val="24"/>
                <w:lang w:val="en-GB"/>
              </w:rPr>
            </w:pPr>
          </w:p>
        </w:tc>
      </w:tr>
      <w:tr w:rsidR="00EA1548" w:rsidRPr="00EA1548" w14:paraId="0E9D30DE" w14:textId="77777777" w:rsidTr="00E136E1">
        <w:tc>
          <w:tcPr>
            <w:tcW w:w="1169" w:type="dxa"/>
          </w:tcPr>
          <w:p w14:paraId="2A9B3D44" w14:textId="77777777" w:rsidR="00EA1548" w:rsidRPr="00EA1548" w:rsidRDefault="00EA1548" w:rsidP="00EA1548">
            <w:pPr>
              <w:spacing w:after="0" w:line="276" w:lineRule="auto"/>
              <w:ind w:left="0" w:firstLine="0"/>
              <w:jc w:val="both"/>
              <w:rPr>
                <w:rFonts w:ascii="Gill Sans MT" w:hAnsi="Gill Sans MT"/>
                <w:sz w:val="24"/>
                <w:lang w:val="en-GB"/>
              </w:rPr>
            </w:pPr>
          </w:p>
        </w:tc>
        <w:tc>
          <w:tcPr>
            <w:tcW w:w="1938" w:type="dxa"/>
          </w:tcPr>
          <w:p w14:paraId="208A23E2" w14:textId="77777777" w:rsidR="00EA1548" w:rsidRPr="00EA1548" w:rsidRDefault="00EA1548" w:rsidP="00EA1548">
            <w:pPr>
              <w:spacing w:after="0" w:line="276" w:lineRule="auto"/>
              <w:ind w:left="0" w:firstLine="0"/>
              <w:jc w:val="both"/>
              <w:rPr>
                <w:rFonts w:ascii="Gill Sans MT" w:hAnsi="Gill Sans MT"/>
                <w:sz w:val="24"/>
                <w:lang w:val="en-GB"/>
              </w:rPr>
            </w:pPr>
          </w:p>
        </w:tc>
        <w:tc>
          <w:tcPr>
            <w:tcW w:w="5902" w:type="dxa"/>
          </w:tcPr>
          <w:p w14:paraId="6E8F6832" w14:textId="77777777" w:rsidR="00EA1548" w:rsidRPr="00EA1548" w:rsidRDefault="00EA1548" w:rsidP="00EA1548">
            <w:pPr>
              <w:spacing w:after="0" w:line="276" w:lineRule="auto"/>
              <w:ind w:left="0" w:firstLine="0"/>
              <w:jc w:val="both"/>
              <w:rPr>
                <w:rFonts w:ascii="Gill Sans MT" w:hAnsi="Gill Sans MT"/>
                <w:sz w:val="24"/>
                <w:lang w:val="en-GB"/>
              </w:rPr>
            </w:pPr>
          </w:p>
        </w:tc>
      </w:tr>
    </w:tbl>
    <w:p w14:paraId="3F685AF0" w14:textId="77777777" w:rsidR="00EA1548" w:rsidRPr="00EA1548" w:rsidRDefault="00EA1548" w:rsidP="00EA1548">
      <w:pPr>
        <w:spacing w:after="0" w:line="276" w:lineRule="auto"/>
        <w:ind w:left="7" w:hanging="10"/>
        <w:jc w:val="both"/>
        <w:rPr>
          <w:rFonts w:ascii="Gill Sans MT" w:hAnsi="Gill Sans MT"/>
          <w:sz w:val="24"/>
          <w:lang w:val="en-GB"/>
        </w:rPr>
      </w:pPr>
    </w:p>
    <w:p w14:paraId="21757C0F" w14:textId="77777777" w:rsidR="00EA1548" w:rsidRPr="00EA1548" w:rsidRDefault="00EA1548" w:rsidP="00EA1548">
      <w:pPr>
        <w:spacing w:after="0" w:line="276" w:lineRule="auto"/>
        <w:ind w:left="7" w:hanging="10"/>
        <w:jc w:val="both"/>
        <w:rPr>
          <w:rFonts w:ascii="Gill Sans MT" w:hAnsi="Gill Sans MT"/>
          <w:sz w:val="24"/>
          <w:lang w:val="en-GB"/>
        </w:rPr>
      </w:pPr>
    </w:p>
    <w:p w14:paraId="3325213E" w14:textId="77777777" w:rsidR="00EA1548" w:rsidRPr="00EA1548" w:rsidRDefault="00EA1548" w:rsidP="00EA1548">
      <w:pPr>
        <w:spacing w:after="0" w:line="276" w:lineRule="auto"/>
        <w:ind w:left="7" w:hanging="10"/>
        <w:jc w:val="both"/>
        <w:rPr>
          <w:rFonts w:ascii="Gill Sans MT" w:hAnsi="Gill Sans MT"/>
          <w:sz w:val="24"/>
          <w:lang w:val="en-GB"/>
        </w:rPr>
      </w:pPr>
    </w:p>
    <w:p w14:paraId="3279208A" w14:textId="77777777" w:rsidR="00EA1548" w:rsidRPr="00EA1548" w:rsidRDefault="00EA1548" w:rsidP="00EA1548">
      <w:pPr>
        <w:spacing w:after="0" w:line="276" w:lineRule="auto"/>
        <w:ind w:left="12" w:firstLine="0"/>
        <w:jc w:val="both"/>
        <w:rPr>
          <w:rFonts w:ascii="Gill Sans MT" w:hAnsi="Gill Sans MT"/>
          <w:sz w:val="24"/>
          <w:lang w:val="en-GB"/>
        </w:rPr>
      </w:pPr>
      <w:r w:rsidRPr="00EA1548">
        <w:rPr>
          <w:rFonts w:ascii="Gill Sans MT" w:eastAsia="Arial" w:hAnsi="Gill Sans MT" w:cs="Arial"/>
          <w:sz w:val="24"/>
          <w:lang w:val="en-GB"/>
        </w:rPr>
        <w:t xml:space="preserve"> </w:t>
      </w:r>
      <w:r w:rsidRPr="00EA1548">
        <w:rPr>
          <w:rFonts w:ascii="Gill Sans MT" w:eastAsia="Arial" w:hAnsi="Gill Sans MT" w:cs="Arial"/>
          <w:sz w:val="24"/>
          <w:lang w:val="en-GB"/>
        </w:rPr>
        <w:tab/>
      </w:r>
      <w:r w:rsidRPr="00EA1548">
        <w:rPr>
          <w:rFonts w:ascii="Gill Sans MT" w:hAnsi="Gill Sans MT"/>
          <w:sz w:val="24"/>
          <w:lang w:val="en-GB"/>
        </w:rPr>
        <w:t xml:space="preserve"> </w:t>
      </w:r>
    </w:p>
    <w:p w14:paraId="6BE21FE1" w14:textId="77777777" w:rsidR="00EA1548" w:rsidRPr="00EA1548" w:rsidRDefault="00EA1548" w:rsidP="00EA1548">
      <w:pPr>
        <w:spacing w:after="160" w:line="276" w:lineRule="auto"/>
        <w:ind w:left="0" w:firstLine="0"/>
        <w:jc w:val="both"/>
        <w:rPr>
          <w:rFonts w:ascii="Gill Sans MT" w:eastAsia="Times New Roman" w:hAnsi="Gill Sans MT" w:cs="Times New Roman"/>
          <w:b/>
          <w:color w:val="auto"/>
          <w:sz w:val="24"/>
          <w:lang w:val="en-GB"/>
        </w:rPr>
      </w:pPr>
      <w:r w:rsidRPr="00EA1548">
        <w:rPr>
          <w:rFonts w:ascii="Gill Sans MT" w:eastAsia="Times New Roman" w:hAnsi="Gill Sans MT" w:cs="Times New Roman"/>
          <w:b/>
          <w:color w:val="auto"/>
          <w:sz w:val="24"/>
          <w:lang w:val="en-GB"/>
        </w:rPr>
        <w:br w:type="page"/>
      </w:r>
    </w:p>
    <w:p w14:paraId="4ECBADAF" w14:textId="15B5623F" w:rsidR="000D3DB7" w:rsidRPr="000800E3" w:rsidRDefault="000D3DB7" w:rsidP="000800E3">
      <w:pPr>
        <w:spacing w:after="160" w:line="276" w:lineRule="auto"/>
        <w:ind w:left="0" w:firstLine="0"/>
        <w:rPr>
          <w:rFonts w:ascii="Gill Sans MT" w:eastAsia="Times New Roman" w:hAnsi="Gill Sans MT" w:cs="Times New Roman"/>
          <w:b/>
          <w:color w:val="auto"/>
          <w:sz w:val="24"/>
          <w:lang w:val="en-GB"/>
        </w:rPr>
      </w:pPr>
      <w:r w:rsidRPr="000800E3">
        <w:rPr>
          <w:rFonts w:ascii="Gill Sans MT" w:eastAsia="Times New Roman" w:hAnsi="Gill Sans MT" w:cs="Times New Roman"/>
          <w:b/>
          <w:color w:val="auto"/>
          <w:sz w:val="24"/>
          <w:lang w:val="en-GB"/>
        </w:rPr>
        <w:lastRenderedPageBreak/>
        <w:t xml:space="preserve">PREAMBLE </w:t>
      </w:r>
    </w:p>
    <w:p w14:paraId="76D2F746" w14:textId="371BCAFB" w:rsidR="000D3DB7" w:rsidRPr="000800E3" w:rsidRDefault="000D3DB7" w:rsidP="000800E3">
      <w:pPr>
        <w:spacing w:after="160" w:line="276" w:lineRule="auto"/>
        <w:ind w:left="0" w:firstLine="0"/>
        <w:rPr>
          <w:rFonts w:ascii="Gill Sans MT" w:eastAsia="Times New Roman" w:hAnsi="Gill Sans MT" w:cs="Times New Roman"/>
          <w:b/>
          <w:color w:val="auto"/>
          <w:sz w:val="24"/>
          <w:lang w:val="en-GB"/>
        </w:rPr>
      </w:pPr>
      <w:r w:rsidRPr="000800E3">
        <w:rPr>
          <w:rFonts w:ascii="Gill Sans MT" w:eastAsia="Times New Roman" w:hAnsi="Gill Sans MT" w:cs="Times New Roman"/>
          <w:b/>
          <w:color w:val="auto"/>
          <w:sz w:val="24"/>
          <w:lang w:val="en-GB"/>
        </w:rPr>
        <w:t>Purpose</w:t>
      </w:r>
    </w:p>
    <w:p w14:paraId="16653D6E" w14:textId="3AD3A07D" w:rsidR="000D3DB7" w:rsidRPr="000800E3" w:rsidRDefault="000D3DB7" w:rsidP="000800E3">
      <w:pPr>
        <w:spacing w:before="120" w:after="80" w:line="276" w:lineRule="auto"/>
        <w:ind w:left="0" w:firstLine="0"/>
        <w:jc w:val="both"/>
        <w:rPr>
          <w:rFonts w:ascii="Gill Sans MT" w:eastAsia="Times New Roman" w:hAnsi="Gill Sans MT" w:cs="Times New Roman"/>
          <w:color w:val="auto"/>
          <w:sz w:val="24"/>
          <w:lang w:val="en-GB"/>
        </w:rPr>
      </w:pPr>
      <w:r w:rsidRPr="000800E3">
        <w:rPr>
          <w:rFonts w:ascii="Gill Sans MT" w:eastAsia="Times New Roman" w:hAnsi="Gill Sans MT" w:cs="Times New Roman"/>
          <w:color w:val="auto"/>
          <w:sz w:val="24"/>
          <w:lang w:val="en-GB"/>
        </w:rPr>
        <w:t xml:space="preserve">The purpose of this </w:t>
      </w:r>
      <w:r w:rsidR="12AD313B" w:rsidRPr="000800E3">
        <w:rPr>
          <w:rFonts w:ascii="Gill Sans MT" w:eastAsia="Times New Roman" w:hAnsi="Gill Sans MT" w:cs="Times New Roman"/>
          <w:color w:val="auto"/>
          <w:sz w:val="24"/>
          <w:lang w:val="en-GB"/>
        </w:rPr>
        <w:t>document</w:t>
      </w:r>
      <w:r w:rsidR="2FF37AC0" w:rsidRPr="000800E3">
        <w:rPr>
          <w:rFonts w:ascii="Gill Sans MT" w:eastAsia="Times New Roman" w:hAnsi="Gill Sans MT" w:cs="Times New Roman"/>
          <w:color w:val="auto"/>
          <w:sz w:val="24"/>
          <w:lang w:val="en-GB"/>
        </w:rPr>
        <w:t xml:space="preserve"> is</w:t>
      </w:r>
      <w:r w:rsidR="51CD9FF2" w:rsidRPr="000800E3">
        <w:rPr>
          <w:rFonts w:ascii="Gill Sans MT" w:eastAsia="Times New Roman" w:hAnsi="Gill Sans MT" w:cs="Times New Roman"/>
          <w:color w:val="auto"/>
          <w:sz w:val="24"/>
          <w:lang w:val="en-GB"/>
        </w:rPr>
        <w:t xml:space="preserve"> to </w:t>
      </w:r>
      <w:r w:rsidR="4EB7F5BA" w:rsidRPr="000800E3">
        <w:rPr>
          <w:rFonts w:ascii="Gill Sans MT" w:eastAsia="Times New Roman" w:hAnsi="Gill Sans MT" w:cs="Times New Roman"/>
          <w:color w:val="auto"/>
          <w:sz w:val="24"/>
          <w:lang w:val="en-GB"/>
        </w:rPr>
        <w:t>formalize</w:t>
      </w:r>
      <w:r w:rsidRPr="000800E3">
        <w:rPr>
          <w:rFonts w:ascii="Gill Sans MT" w:eastAsia="Times New Roman" w:hAnsi="Gill Sans MT" w:cs="Times New Roman"/>
          <w:color w:val="auto"/>
          <w:sz w:val="24"/>
          <w:lang w:val="en-GB"/>
        </w:rPr>
        <w:t xml:space="preserve"> </w:t>
      </w:r>
      <w:r w:rsidR="2FF37AC0" w:rsidRPr="000800E3">
        <w:rPr>
          <w:rFonts w:ascii="Gill Sans MT" w:eastAsia="Times New Roman" w:hAnsi="Gill Sans MT" w:cs="Times New Roman"/>
          <w:color w:val="auto"/>
          <w:sz w:val="24"/>
          <w:lang w:val="en-GB"/>
        </w:rPr>
        <w:t>SA</w:t>
      </w:r>
      <w:r w:rsidR="1CB91D7D" w:rsidRPr="000800E3">
        <w:rPr>
          <w:rFonts w:ascii="Gill Sans MT" w:eastAsia="Times New Roman" w:hAnsi="Gill Sans MT" w:cs="Times New Roman"/>
          <w:color w:val="auto"/>
          <w:sz w:val="24"/>
          <w:lang w:val="en-GB"/>
        </w:rPr>
        <w:t>DC</w:t>
      </w:r>
      <w:r w:rsidR="6A7460A0" w:rsidRPr="000800E3">
        <w:rPr>
          <w:rFonts w:ascii="Gill Sans MT" w:eastAsia="Times New Roman" w:hAnsi="Gill Sans MT" w:cs="Times New Roman"/>
          <w:color w:val="auto"/>
          <w:sz w:val="24"/>
          <w:lang w:val="en-GB"/>
        </w:rPr>
        <w:t>’s</w:t>
      </w:r>
      <w:r w:rsidRPr="000800E3">
        <w:rPr>
          <w:rFonts w:ascii="Gill Sans MT" w:eastAsia="Times New Roman" w:hAnsi="Gill Sans MT" w:cs="Times New Roman"/>
          <w:color w:val="auto"/>
          <w:sz w:val="24"/>
          <w:lang w:val="en-GB"/>
        </w:rPr>
        <w:t xml:space="preserve"> </w:t>
      </w:r>
      <w:r w:rsidR="2FF37AC0" w:rsidRPr="000800E3">
        <w:rPr>
          <w:rFonts w:ascii="Gill Sans MT" w:eastAsia="Times New Roman" w:hAnsi="Gill Sans MT" w:cs="Times New Roman"/>
          <w:color w:val="auto"/>
          <w:sz w:val="24"/>
          <w:lang w:val="en-GB"/>
        </w:rPr>
        <w:t>adopt</w:t>
      </w:r>
      <w:r w:rsidR="4C72EF4D" w:rsidRPr="000800E3">
        <w:rPr>
          <w:rFonts w:ascii="Gill Sans MT" w:eastAsia="Times New Roman" w:hAnsi="Gill Sans MT" w:cs="Times New Roman"/>
          <w:color w:val="auto"/>
          <w:sz w:val="24"/>
          <w:lang w:val="en-GB"/>
        </w:rPr>
        <w:t>ion and implementation</w:t>
      </w:r>
      <w:r w:rsidRPr="000800E3">
        <w:rPr>
          <w:rFonts w:ascii="Gill Sans MT" w:eastAsia="Times New Roman" w:hAnsi="Gill Sans MT" w:cs="Times New Roman"/>
          <w:color w:val="auto"/>
          <w:sz w:val="24"/>
          <w:lang w:val="en-GB"/>
        </w:rPr>
        <w:t xml:space="preserve"> </w:t>
      </w:r>
      <w:r w:rsidR="4C72EF4D" w:rsidRPr="000800E3">
        <w:rPr>
          <w:rFonts w:ascii="Gill Sans MT" w:eastAsia="Times New Roman" w:hAnsi="Gill Sans MT" w:cs="Times New Roman"/>
          <w:color w:val="auto"/>
          <w:sz w:val="24"/>
          <w:lang w:val="en-GB"/>
        </w:rPr>
        <w:t xml:space="preserve">of </w:t>
      </w:r>
      <w:r w:rsidRPr="000800E3">
        <w:rPr>
          <w:rFonts w:ascii="Gill Sans MT" w:eastAsia="Times New Roman" w:hAnsi="Gill Sans MT" w:cs="Times New Roman"/>
          <w:color w:val="auto"/>
          <w:sz w:val="24"/>
          <w:lang w:val="en-GB"/>
        </w:rPr>
        <w:t xml:space="preserve">the </w:t>
      </w:r>
      <w:r w:rsidR="00FA48E2" w:rsidRPr="000800E3">
        <w:rPr>
          <w:rFonts w:ascii="Gill Sans MT" w:eastAsia="Times New Roman" w:hAnsi="Gill Sans MT" w:cs="Times New Roman"/>
          <w:color w:val="auto"/>
          <w:sz w:val="24"/>
          <w:lang w:val="en-GB"/>
        </w:rPr>
        <w:t xml:space="preserve">Annex 8, </w:t>
      </w:r>
      <w:r w:rsidR="00E7399E" w:rsidRPr="000800E3">
        <w:rPr>
          <w:rFonts w:ascii="Gill Sans MT" w:eastAsia="Times New Roman" w:hAnsi="Gill Sans MT" w:cs="Times New Roman"/>
          <w:color w:val="auto"/>
          <w:sz w:val="24"/>
          <w:lang w:val="en-GB"/>
        </w:rPr>
        <w:t>Multisource (generic) pharmaceutical products: guidelines on registration requirements to establish interchangeability</w:t>
      </w:r>
      <w:r w:rsidR="00E7399E" w:rsidRPr="000800E3" w:rsidDel="00E7399E">
        <w:rPr>
          <w:rFonts w:ascii="Gill Sans MT" w:eastAsia="Times New Roman" w:hAnsi="Gill Sans MT" w:cs="Times New Roman"/>
          <w:color w:val="auto"/>
          <w:sz w:val="24"/>
          <w:lang w:val="en-GB"/>
        </w:rPr>
        <w:t xml:space="preserve"> </w:t>
      </w:r>
      <w:r w:rsidR="5D03A2C3" w:rsidRPr="000800E3">
        <w:rPr>
          <w:rFonts w:ascii="Gill Sans MT" w:eastAsia="Times New Roman" w:hAnsi="Gill Sans MT" w:cs="Times New Roman"/>
          <w:color w:val="auto"/>
          <w:sz w:val="24"/>
          <w:lang w:val="en-GB"/>
        </w:rPr>
        <w:t>(</w:t>
      </w:r>
      <w:r w:rsidR="00E7399E" w:rsidRPr="000800E3">
        <w:rPr>
          <w:rFonts w:ascii="Gill Sans MT" w:eastAsia="Times New Roman" w:hAnsi="Gill Sans MT" w:cs="Times New Roman"/>
          <w:color w:val="auto"/>
          <w:sz w:val="24"/>
          <w:lang w:val="en-GB"/>
        </w:rPr>
        <w:t>WHO Technical Report Series, No. 1052</w:t>
      </w:r>
      <w:r w:rsidR="00E06E2C" w:rsidRPr="000800E3">
        <w:rPr>
          <w:rFonts w:ascii="Gill Sans MT" w:eastAsia="Times New Roman" w:hAnsi="Gill Sans MT" w:cs="Times New Roman"/>
          <w:color w:val="auto"/>
          <w:sz w:val="24"/>
          <w:lang w:val="en-GB"/>
        </w:rPr>
        <w:t>, 2024</w:t>
      </w:r>
      <w:r w:rsidR="73487CCD" w:rsidRPr="000800E3">
        <w:rPr>
          <w:rFonts w:ascii="Gill Sans MT" w:eastAsia="Times New Roman" w:hAnsi="Gill Sans MT" w:cs="Times New Roman"/>
          <w:color w:val="auto"/>
          <w:sz w:val="24"/>
          <w:lang w:val="en-GB"/>
        </w:rPr>
        <w:t>)</w:t>
      </w:r>
      <w:r w:rsidR="00DA5F38" w:rsidRPr="000800E3">
        <w:rPr>
          <w:rFonts w:ascii="Gill Sans MT" w:eastAsia="Times New Roman" w:hAnsi="Gill Sans MT" w:cs="Times New Roman"/>
          <w:color w:val="auto"/>
          <w:sz w:val="24"/>
          <w:lang w:val="en-GB"/>
        </w:rPr>
        <w:t>.</w:t>
      </w:r>
      <w:r w:rsidR="0020742C" w:rsidRPr="000800E3">
        <w:rPr>
          <w:rFonts w:ascii="Gill Sans MT" w:eastAsia="Times New Roman" w:hAnsi="Gill Sans MT" w:cs="Times New Roman"/>
          <w:color w:val="auto"/>
          <w:sz w:val="24"/>
          <w:lang w:val="en-GB"/>
        </w:rPr>
        <w:t xml:space="preserve"> </w:t>
      </w:r>
      <w:r w:rsidR="65E1D28B" w:rsidRPr="000800E3">
        <w:rPr>
          <w:rFonts w:ascii="Gill Sans MT" w:eastAsia="Times New Roman" w:hAnsi="Gill Sans MT" w:cs="Times New Roman"/>
          <w:color w:val="auto"/>
          <w:sz w:val="24"/>
          <w:lang w:val="en-GB"/>
        </w:rPr>
        <w:t xml:space="preserve"> It informs applicants and assessors of the standards to be applied during product registration and post approval changes (variations)</w:t>
      </w:r>
      <w:r w:rsidR="06E360D5" w:rsidRPr="000800E3">
        <w:rPr>
          <w:rFonts w:ascii="Gill Sans MT" w:eastAsia="Times New Roman" w:hAnsi="Gill Sans MT" w:cs="Times New Roman"/>
          <w:color w:val="auto"/>
          <w:sz w:val="24"/>
          <w:lang w:val="en-GB"/>
        </w:rPr>
        <w:t>.</w:t>
      </w:r>
    </w:p>
    <w:p w14:paraId="59D99F99" w14:textId="77777777" w:rsidR="00320356" w:rsidRPr="000800E3" w:rsidRDefault="00320356" w:rsidP="000800E3">
      <w:pPr>
        <w:spacing w:after="160" w:line="276" w:lineRule="auto"/>
        <w:ind w:left="0" w:firstLine="0"/>
        <w:rPr>
          <w:rFonts w:ascii="Gill Sans MT" w:eastAsia="Times New Roman" w:hAnsi="Gill Sans MT" w:cs="Times New Roman"/>
          <w:b/>
          <w:color w:val="auto"/>
          <w:sz w:val="24"/>
          <w:lang w:val="en-GB"/>
        </w:rPr>
      </w:pPr>
    </w:p>
    <w:p w14:paraId="366A29F6" w14:textId="3A729C0E" w:rsidR="3DFB0CCC" w:rsidRPr="000800E3" w:rsidRDefault="08BF6D82" w:rsidP="000800E3">
      <w:pPr>
        <w:spacing w:after="160" w:line="276" w:lineRule="auto"/>
        <w:ind w:left="0" w:firstLine="0"/>
        <w:rPr>
          <w:rFonts w:ascii="Gill Sans MT" w:eastAsia="Times New Roman" w:hAnsi="Gill Sans MT" w:cs="Times New Roman"/>
          <w:b/>
          <w:color w:val="auto"/>
          <w:sz w:val="24"/>
          <w:lang w:val="en-GB"/>
        </w:rPr>
      </w:pPr>
      <w:r w:rsidRPr="000800E3">
        <w:rPr>
          <w:rFonts w:ascii="Gill Sans MT" w:eastAsia="Times New Roman" w:hAnsi="Gill Sans MT" w:cs="Times New Roman"/>
          <w:b/>
          <w:color w:val="auto"/>
          <w:sz w:val="24"/>
          <w:lang w:val="en-GB"/>
        </w:rPr>
        <w:t xml:space="preserve">Adoption Statement </w:t>
      </w:r>
    </w:p>
    <w:p w14:paraId="4A710C28" w14:textId="125D85A5" w:rsidR="417DDAB4" w:rsidRPr="000800E3" w:rsidRDefault="417DDAB4" w:rsidP="000800E3">
      <w:pPr>
        <w:spacing w:after="160" w:line="276" w:lineRule="auto"/>
        <w:ind w:left="0" w:firstLine="0"/>
        <w:jc w:val="both"/>
        <w:rPr>
          <w:rFonts w:ascii="Gill Sans MT" w:eastAsia="Times New Roman" w:hAnsi="Gill Sans MT" w:cs="Times New Roman"/>
          <w:color w:val="auto"/>
          <w:sz w:val="24"/>
          <w:lang w:val="en-GB"/>
        </w:rPr>
      </w:pPr>
      <w:r w:rsidRPr="000800E3">
        <w:rPr>
          <w:rFonts w:ascii="Gill Sans MT" w:eastAsia="Times New Roman" w:hAnsi="Gill Sans MT" w:cs="Times New Roman"/>
          <w:color w:val="auto"/>
          <w:sz w:val="24"/>
          <w:lang w:val="en-GB"/>
        </w:rPr>
        <w:t xml:space="preserve">SADC </w:t>
      </w:r>
      <w:r w:rsidR="298ABC0C" w:rsidRPr="000800E3">
        <w:rPr>
          <w:rFonts w:ascii="Gill Sans MT" w:eastAsia="Times New Roman" w:hAnsi="Gill Sans MT" w:cs="Times New Roman"/>
          <w:color w:val="auto"/>
          <w:sz w:val="24"/>
          <w:lang w:val="en-GB"/>
        </w:rPr>
        <w:t>formally</w:t>
      </w:r>
      <w:r w:rsidRPr="000800E3">
        <w:rPr>
          <w:rFonts w:ascii="Gill Sans MT" w:eastAsia="Times New Roman" w:hAnsi="Gill Sans MT" w:cs="Times New Roman"/>
          <w:color w:val="auto"/>
          <w:sz w:val="24"/>
          <w:lang w:val="en-GB"/>
        </w:rPr>
        <w:t xml:space="preserve"> adopts </w:t>
      </w:r>
      <w:r w:rsidR="00E7399E" w:rsidRPr="000800E3">
        <w:rPr>
          <w:rFonts w:ascii="Gill Sans MT" w:eastAsia="Times New Roman" w:hAnsi="Gill Sans MT" w:cs="Times New Roman"/>
          <w:color w:val="auto"/>
          <w:sz w:val="24"/>
          <w:lang w:val="en-GB"/>
        </w:rPr>
        <w:t>Annex 8, Multisource (generic) pharmaceutical products: guidelines on registration requirements to establish interchangeability, WHO Technical Report Series, No. 1052</w:t>
      </w:r>
      <w:r w:rsidR="00F065FF" w:rsidRPr="000800E3">
        <w:rPr>
          <w:rFonts w:ascii="Gill Sans MT" w:eastAsia="Times New Roman" w:hAnsi="Gill Sans MT" w:cs="Times New Roman"/>
          <w:color w:val="auto"/>
          <w:sz w:val="24"/>
          <w:lang w:val="en-GB"/>
        </w:rPr>
        <w:t>, 2024</w:t>
      </w:r>
      <w:r w:rsidR="00E7399E" w:rsidRPr="000800E3">
        <w:rPr>
          <w:rFonts w:ascii="Gill Sans MT" w:eastAsia="Times New Roman" w:hAnsi="Gill Sans MT" w:cs="Times New Roman"/>
          <w:color w:val="auto"/>
          <w:sz w:val="24"/>
          <w:lang w:val="en-GB"/>
        </w:rPr>
        <w:t xml:space="preserve"> </w:t>
      </w:r>
      <w:r w:rsidR="0940B5F7" w:rsidRPr="000800E3">
        <w:rPr>
          <w:rFonts w:ascii="Gill Sans MT" w:eastAsia="Times New Roman" w:hAnsi="Gill Sans MT" w:cs="Times New Roman"/>
          <w:color w:val="auto"/>
          <w:sz w:val="24"/>
          <w:lang w:val="en-GB"/>
        </w:rPr>
        <w:t>subject to the clarifications and adaptations</w:t>
      </w:r>
      <w:r w:rsidR="0D9FA75C" w:rsidRPr="000800E3">
        <w:rPr>
          <w:rFonts w:ascii="Gill Sans MT" w:eastAsia="Times New Roman" w:hAnsi="Gill Sans MT" w:cs="Times New Roman"/>
          <w:color w:val="auto"/>
          <w:sz w:val="24"/>
          <w:lang w:val="en-GB"/>
        </w:rPr>
        <w:t xml:space="preserve"> specified in the annotations/note section.</w:t>
      </w:r>
      <w:r w:rsidR="00E7399E" w:rsidRPr="000800E3">
        <w:rPr>
          <w:rFonts w:ascii="Gill Sans MT" w:eastAsia="Times New Roman" w:hAnsi="Gill Sans MT" w:cs="Times New Roman"/>
          <w:color w:val="auto"/>
          <w:sz w:val="24"/>
          <w:lang w:val="en-GB"/>
        </w:rPr>
        <w:t xml:space="preserve"> </w:t>
      </w:r>
      <w:r w:rsidRPr="000800E3">
        <w:rPr>
          <w:rFonts w:ascii="Gill Sans MT" w:eastAsia="Times New Roman" w:hAnsi="Gill Sans MT" w:cs="Times New Roman"/>
          <w:color w:val="auto"/>
          <w:sz w:val="24"/>
          <w:lang w:val="en-GB"/>
        </w:rPr>
        <w:t xml:space="preserve">The adoption is effective [dd Month </w:t>
      </w:r>
      <w:proofErr w:type="spellStart"/>
      <w:r w:rsidRPr="000800E3">
        <w:rPr>
          <w:rFonts w:ascii="Gill Sans MT" w:eastAsia="Times New Roman" w:hAnsi="Gill Sans MT" w:cs="Times New Roman"/>
          <w:color w:val="auto"/>
          <w:sz w:val="24"/>
          <w:lang w:val="en-GB"/>
        </w:rPr>
        <w:t>yyyy</w:t>
      </w:r>
      <w:proofErr w:type="spellEnd"/>
      <w:r w:rsidRPr="000800E3">
        <w:rPr>
          <w:rFonts w:ascii="Gill Sans MT" w:eastAsia="Times New Roman" w:hAnsi="Gill Sans MT" w:cs="Times New Roman"/>
          <w:color w:val="auto"/>
          <w:sz w:val="24"/>
          <w:lang w:val="en-GB"/>
        </w:rPr>
        <w:t>]. These requirements apply to SADC Medicines Regulatory Harmonization (Zazibona joint assessments). They also apply to SADC NRAs unless specified otherwise by an individual NRA</w:t>
      </w:r>
      <w:r w:rsidR="2D85D0AD" w:rsidRPr="000800E3">
        <w:rPr>
          <w:rFonts w:ascii="Gill Sans MT" w:eastAsia="Times New Roman" w:hAnsi="Gill Sans MT" w:cs="Times New Roman"/>
          <w:color w:val="auto"/>
          <w:sz w:val="24"/>
          <w:lang w:val="en-GB"/>
        </w:rPr>
        <w:t xml:space="preserve"> </w:t>
      </w:r>
      <w:r w:rsidR="2D85D0AD" w:rsidRPr="000800E3">
        <w:rPr>
          <w:rFonts w:ascii="Gill Sans MT" w:eastAsia="Times New Roman" w:hAnsi="Gill Sans MT" w:cs="Times New Roman"/>
          <w:color w:val="auto"/>
          <w:sz w:val="24"/>
          <w:highlight w:val="yellow"/>
          <w:lang w:val="en-GB"/>
        </w:rPr>
        <w:t>(published)</w:t>
      </w:r>
      <w:r w:rsidRPr="000800E3">
        <w:rPr>
          <w:rFonts w:ascii="Gill Sans MT" w:eastAsia="Times New Roman" w:hAnsi="Gill Sans MT" w:cs="Times New Roman"/>
          <w:color w:val="auto"/>
          <w:sz w:val="24"/>
          <w:lang w:val="en-GB"/>
        </w:rPr>
        <w:t>.</w:t>
      </w:r>
    </w:p>
    <w:p w14:paraId="2C304B75" w14:textId="60FEB2F3" w:rsidR="3DFB0CCC" w:rsidRPr="000800E3" w:rsidRDefault="08BF6D82" w:rsidP="000800E3">
      <w:pPr>
        <w:spacing w:after="160" w:line="276" w:lineRule="auto"/>
        <w:ind w:left="0" w:firstLine="0"/>
        <w:jc w:val="both"/>
        <w:rPr>
          <w:rFonts w:ascii="Gill Sans MT" w:eastAsia="Times New Roman" w:hAnsi="Gill Sans MT" w:cs="Times New Roman"/>
          <w:color w:val="auto"/>
          <w:sz w:val="24"/>
          <w:lang w:val="en-GB"/>
        </w:rPr>
      </w:pPr>
      <w:r w:rsidRPr="000800E3">
        <w:rPr>
          <w:rFonts w:ascii="Gill Sans MT" w:eastAsia="Times New Roman" w:hAnsi="Gill Sans MT" w:cs="Times New Roman"/>
          <w:color w:val="auto"/>
          <w:sz w:val="24"/>
          <w:lang w:val="en-GB"/>
        </w:rPr>
        <w:t>The source guideline is accessible at:</w:t>
      </w:r>
    </w:p>
    <w:p w14:paraId="3DD930D0" w14:textId="3B6FF348" w:rsidR="3DFB0CCC" w:rsidRPr="000800E3" w:rsidRDefault="00E7399E" w:rsidP="000800E3">
      <w:pPr>
        <w:spacing w:after="160" w:line="276" w:lineRule="auto"/>
        <w:ind w:left="0" w:firstLine="0"/>
        <w:rPr>
          <w:rFonts w:ascii="Gill Sans MT" w:eastAsia="Times New Roman" w:hAnsi="Gill Sans MT" w:cs="Times New Roman"/>
          <w:color w:val="auto"/>
          <w:sz w:val="24"/>
          <w:lang w:val="en-GB"/>
        </w:rPr>
      </w:pPr>
      <w:hyperlink r:id="rId12" w:history="1">
        <w:r w:rsidRPr="000800E3">
          <w:rPr>
            <w:rStyle w:val="Hyperlink"/>
            <w:rFonts w:ascii="Gill Sans MT" w:hAnsi="Gill Sans MT" w:cs="Times New Roman"/>
            <w:sz w:val="24"/>
            <w:lang w:val="en-GB"/>
          </w:rPr>
          <w:t>https://iris.who.int/handle/10665/376607</w:t>
        </w:r>
      </w:hyperlink>
      <w:r w:rsidRPr="000800E3">
        <w:rPr>
          <w:rFonts w:ascii="Gill Sans MT" w:hAnsi="Gill Sans MT" w:cs="Times New Roman"/>
          <w:sz w:val="24"/>
          <w:lang w:val="en-GB"/>
        </w:rPr>
        <w:t xml:space="preserve"> </w:t>
      </w:r>
    </w:p>
    <w:p w14:paraId="434BA0B1" w14:textId="77777777" w:rsidR="00FE35D9" w:rsidRPr="000800E3" w:rsidRDefault="00FE35D9" w:rsidP="000800E3">
      <w:pPr>
        <w:spacing w:after="160" w:line="276" w:lineRule="auto"/>
        <w:ind w:left="0" w:firstLine="0"/>
        <w:rPr>
          <w:rFonts w:ascii="Gill Sans MT" w:eastAsia="Times New Roman" w:hAnsi="Gill Sans MT" w:cs="Times New Roman"/>
          <w:b/>
          <w:color w:val="auto"/>
          <w:sz w:val="24"/>
          <w:lang w:val="en-GB"/>
        </w:rPr>
      </w:pPr>
    </w:p>
    <w:p w14:paraId="3EEA09AA" w14:textId="22341663" w:rsidR="15A9DCF2" w:rsidRPr="000800E3" w:rsidRDefault="15A9DCF2" w:rsidP="000800E3">
      <w:pPr>
        <w:spacing w:after="160" w:line="276" w:lineRule="auto"/>
        <w:ind w:left="0" w:firstLine="0"/>
        <w:rPr>
          <w:rFonts w:ascii="Gill Sans MT" w:eastAsia="Times New Roman" w:hAnsi="Gill Sans MT" w:cs="Times New Roman"/>
          <w:b/>
          <w:color w:val="auto"/>
          <w:sz w:val="24"/>
          <w:lang w:val="en-GB"/>
        </w:rPr>
      </w:pPr>
      <w:r w:rsidRPr="000800E3">
        <w:rPr>
          <w:rFonts w:ascii="Gill Sans MT" w:eastAsia="Times New Roman" w:hAnsi="Gill Sans MT" w:cs="Times New Roman"/>
          <w:b/>
          <w:color w:val="auto"/>
          <w:sz w:val="24"/>
          <w:lang w:val="en-GB"/>
        </w:rPr>
        <w:t>Rationale</w:t>
      </w:r>
      <w:r w:rsidR="2910FE01" w:rsidRPr="000800E3">
        <w:rPr>
          <w:rFonts w:ascii="Gill Sans MT" w:eastAsia="Times New Roman" w:hAnsi="Gill Sans MT" w:cs="Times New Roman"/>
          <w:b/>
          <w:color w:val="auto"/>
          <w:sz w:val="24"/>
          <w:lang w:val="en-GB"/>
        </w:rPr>
        <w:t xml:space="preserve"> for Adoption</w:t>
      </w:r>
    </w:p>
    <w:p w14:paraId="7E49A548" w14:textId="61184B51" w:rsidR="1B73D24F" w:rsidRPr="000800E3" w:rsidRDefault="569E706C" w:rsidP="000800E3">
      <w:pPr>
        <w:spacing w:after="160" w:line="276" w:lineRule="auto"/>
        <w:ind w:left="0"/>
        <w:jc w:val="both"/>
        <w:rPr>
          <w:rFonts w:ascii="Gill Sans MT" w:eastAsia="Times New Roman" w:hAnsi="Gill Sans MT" w:cs="Times New Roman"/>
          <w:color w:val="auto"/>
          <w:sz w:val="24"/>
          <w:lang w:val="en-GB"/>
        </w:rPr>
      </w:pPr>
      <w:r w:rsidRPr="000800E3">
        <w:rPr>
          <w:rFonts w:ascii="Gill Sans MT" w:eastAsia="Times New Roman" w:hAnsi="Gill Sans MT" w:cs="Times New Roman"/>
          <w:color w:val="auto"/>
          <w:sz w:val="24"/>
          <w:lang w:val="en-GB"/>
        </w:rPr>
        <w:t xml:space="preserve">To ensure that the SADC standards are aligned with </w:t>
      </w:r>
      <w:r w:rsidR="16A49D70" w:rsidRPr="000800E3">
        <w:rPr>
          <w:rFonts w:ascii="Gill Sans MT" w:eastAsia="Times New Roman" w:hAnsi="Gill Sans MT" w:cs="Times New Roman"/>
          <w:color w:val="auto"/>
          <w:sz w:val="24"/>
          <w:lang w:val="en-GB"/>
        </w:rPr>
        <w:t>international</w:t>
      </w:r>
      <w:r w:rsidRPr="000800E3">
        <w:rPr>
          <w:rFonts w:ascii="Gill Sans MT" w:eastAsia="Times New Roman" w:hAnsi="Gill Sans MT" w:cs="Times New Roman"/>
          <w:color w:val="auto"/>
          <w:sz w:val="24"/>
          <w:lang w:val="en-GB"/>
        </w:rPr>
        <w:t xml:space="preserve"> standards</w:t>
      </w:r>
      <w:r w:rsidR="5EBA1399" w:rsidRPr="000800E3">
        <w:rPr>
          <w:rFonts w:ascii="Gill Sans MT" w:eastAsia="Times New Roman" w:hAnsi="Gill Sans MT" w:cs="Times New Roman"/>
          <w:color w:val="auto"/>
          <w:sz w:val="24"/>
          <w:lang w:val="en-GB"/>
        </w:rPr>
        <w:t xml:space="preserve"> or </w:t>
      </w:r>
      <w:r w:rsidR="00E7399E" w:rsidRPr="000800E3">
        <w:rPr>
          <w:rFonts w:ascii="Gill Sans MT" w:eastAsia="Times New Roman" w:hAnsi="Gill Sans MT" w:cs="Times New Roman"/>
          <w:color w:val="auto"/>
          <w:sz w:val="24"/>
          <w:lang w:val="en-GB"/>
        </w:rPr>
        <w:t>state-of-the-art</w:t>
      </w:r>
      <w:r w:rsidR="4839DD58" w:rsidRPr="000800E3">
        <w:rPr>
          <w:rFonts w:ascii="Gill Sans MT" w:eastAsia="Times New Roman" w:hAnsi="Gill Sans MT" w:cs="Times New Roman"/>
          <w:color w:val="auto"/>
          <w:sz w:val="24"/>
          <w:lang w:val="en-GB"/>
        </w:rPr>
        <w:t xml:space="preserve"> scientific practices</w:t>
      </w:r>
      <w:r w:rsidR="0B4A330F" w:rsidRPr="000800E3">
        <w:rPr>
          <w:rFonts w:ascii="Gill Sans MT" w:eastAsia="Times New Roman" w:hAnsi="Gill Sans MT" w:cs="Times New Roman"/>
          <w:color w:val="auto"/>
          <w:sz w:val="24"/>
          <w:lang w:val="en-GB"/>
        </w:rPr>
        <w:t xml:space="preserve">. </w:t>
      </w:r>
      <w:r w:rsidRPr="000800E3">
        <w:rPr>
          <w:rFonts w:ascii="Gill Sans MT" w:eastAsia="Times New Roman" w:hAnsi="Gill Sans MT" w:cs="Times New Roman"/>
          <w:color w:val="auto"/>
          <w:sz w:val="24"/>
          <w:lang w:val="en-GB"/>
        </w:rPr>
        <w:t xml:space="preserve">Adopting </w:t>
      </w:r>
      <w:r w:rsidR="06F7194C" w:rsidRPr="000800E3">
        <w:rPr>
          <w:rFonts w:ascii="Gill Sans MT" w:eastAsia="Times New Roman" w:hAnsi="Gill Sans MT" w:cs="Times New Roman"/>
          <w:color w:val="auto"/>
          <w:sz w:val="24"/>
          <w:lang w:val="en-GB"/>
        </w:rPr>
        <w:t>international standards such as WHO or ICH</w:t>
      </w:r>
      <w:r w:rsidRPr="000800E3">
        <w:rPr>
          <w:rFonts w:ascii="Gill Sans MT" w:eastAsia="Times New Roman" w:hAnsi="Gill Sans MT" w:cs="Times New Roman"/>
          <w:color w:val="auto"/>
          <w:sz w:val="24"/>
          <w:lang w:val="en-GB"/>
        </w:rPr>
        <w:t xml:space="preserve"> </w:t>
      </w:r>
      <w:r w:rsidR="60426D87" w:rsidRPr="000800E3">
        <w:rPr>
          <w:rFonts w:ascii="Gill Sans MT" w:eastAsia="Times New Roman" w:hAnsi="Gill Sans MT" w:cs="Times New Roman"/>
          <w:color w:val="auto"/>
          <w:sz w:val="24"/>
          <w:lang w:val="en-GB"/>
        </w:rPr>
        <w:t>reduces</w:t>
      </w:r>
      <w:r w:rsidR="556D47BF" w:rsidRPr="000800E3">
        <w:rPr>
          <w:rFonts w:ascii="Gill Sans MT" w:eastAsia="Times New Roman" w:hAnsi="Gill Sans MT" w:cs="Times New Roman"/>
          <w:color w:val="auto"/>
          <w:sz w:val="24"/>
          <w:lang w:val="en-GB"/>
        </w:rPr>
        <w:t xml:space="preserve"> duplication of studies, </w:t>
      </w:r>
      <w:r w:rsidR="64E5630D" w:rsidRPr="000800E3">
        <w:rPr>
          <w:rFonts w:ascii="Gill Sans MT" w:eastAsia="Times New Roman" w:hAnsi="Gill Sans MT" w:cs="Times New Roman"/>
          <w:color w:val="auto"/>
          <w:sz w:val="24"/>
          <w:lang w:val="en-GB"/>
        </w:rPr>
        <w:t>promotes information exchange among the regulators</w:t>
      </w:r>
      <w:r w:rsidR="6D2003F6" w:rsidRPr="000800E3">
        <w:rPr>
          <w:rFonts w:ascii="Gill Sans MT" w:eastAsia="Times New Roman" w:hAnsi="Gill Sans MT" w:cs="Times New Roman"/>
          <w:color w:val="auto"/>
          <w:sz w:val="24"/>
          <w:lang w:val="en-GB"/>
        </w:rPr>
        <w:t>,</w:t>
      </w:r>
      <w:r w:rsidR="03433238" w:rsidRPr="000800E3">
        <w:rPr>
          <w:rFonts w:ascii="Gill Sans MT" w:eastAsia="Times New Roman" w:hAnsi="Gill Sans MT" w:cs="Times New Roman"/>
          <w:color w:val="auto"/>
          <w:sz w:val="24"/>
          <w:lang w:val="en-GB"/>
        </w:rPr>
        <w:t xml:space="preserve"> including reliance</w:t>
      </w:r>
      <w:r w:rsidR="64E5630D" w:rsidRPr="000800E3">
        <w:rPr>
          <w:rFonts w:ascii="Gill Sans MT" w:eastAsia="Times New Roman" w:hAnsi="Gill Sans MT" w:cs="Times New Roman"/>
          <w:color w:val="auto"/>
          <w:sz w:val="24"/>
          <w:lang w:val="en-GB"/>
        </w:rPr>
        <w:t>, more efficient assessment, align</w:t>
      </w:r>
      <w:r w:rsidR="72773C1F" w:rsidRPr="000800E3">
        <w:rPr>
          <w:rFonts w:ascii="Gill Sans MT" w:eastAsia="Times New Roman" w:hAnsi="Gill Sans MT" w:cs="Times New Roman"/>
          <w:color w:val="auto"/>
          <w:sz w:val="24"/>
          <w:lang w:val="en-GB"/>
        </w:rPr>
        <w:t>s</w:t>
      </w:r>
      <w:r w:rsidR="64E5630D" w:rsidRPr="000800E3">
        <w:rPr>
          <w:rFonts w:ascii="Gill Sans MT" w:eastAsia="Times New Roman" w:hAnsi="Gill Sans MT" w:cs="Times New Roman"/>
          <w:color w:val="auto"/>
          <w:sz w:val="24"/>
          <w:lang w:val="en-GB"/>
        </w:rPr>
        <w:t xml:space="preserve"> the region with global standards</w:t>
      </w:r>
      <w:r w:rsidR="2CFDD725" w:rsidRPr="000800E3">
        <w:rPr>
          <w:rFonts w:ascii="Gill Sans MT" w:eastAsia="Times New Roman" w:hAnsi="Gill Sans MT" w:cs="Times New Roman"/>
          <w:color w:val="auto"/>
          <w:sz w:val="24"/>
          <w:lang w:val="en-GB"/>
        </w:rPr>
        <w:t>,</w:t>
      </w:r>
      <w:r w:rsidRPr="000800E3">
        <w:rPr>
          <w:rFonts w:ascii="Gill Sans MT" w:eastAsia="Times New Roman" w:hAnsi="Gill Sans MT" w:cs="Times New Roman"/>
          <w:color w:val="auto"/>
          <w:sz w:val="24"/>
          <w:lang w:val="en-GB"/>
        </w:rPr>
        <w:t xml:space="preserve"> and ultimately increase</w:t>
      </w:r>
      <w:r w:rsidR="6DF97993" w:rsidRPr="000800E3">
        <w:rPr>
          <w:rFonts w:ascii="Gill Sans MT" w:eastAsia="Times New Roman" w:hAnsi="Gill Sans MT" w:cs="Times New Roman"/>
          <w:color w:val="auto"/>
          <w:sz w:val="24"/>
          <w:lang w:val="en-GB"/>
        </w:rPr>
        <w:t>s</w:t>
      </w:r>
      <w:r w:rsidRPr="000800E3">
        <w:rPr>
          <w:rFonts w:ascii="Gill Sans MT" w:eastAsia="Times New Roman" w:hAnsi="Gill Sans MT" w:cs="Times New Roman"/>
          <w:color w:val="auto"/>
          <w:sz w:val="24"/>
          <w:lang w:val="en-GB"/>
        </w:rPr>
        <w:t xml:space="preserve"> </w:t>
      </w:r>
      <w:r w:rsidR="09B9468F" w:rsidRPr="000800E3">
        <w:rPr>
          <w:rFonts w:ascii="Gill Sans MT" w:eastAsia="Times New Roman" w:hAnsi="Gill Sans MT" w:cs="Times New Roman"/>
          <w:color w:val="auto"/>
          <w:sz w:val="24"/>
          <w:lang w:val="en-GB"/>
        </w:rPr>
        <w:t xml:space="preserve">the </w:t>
      </w:r>
      <w:r w:rsidRPr="000800E3">
        <w:rPr>
          <w:rFonts w:ascii="Gill Sans MT" w:eastAsia="Times New Roman" w:hAnsi="Gill Sans MT" w:cs="Times New Roman"/>
          <w:color w:val="auto"/>
          <w:sz w:val="24"/>
          <w:lang w:val="en-GB"/>
        </w:rPr>
        <w:t xml:space="preserve">availability of medicines to the public. The intended benefits of adopting the </w:t>
      </w:r>
      <w:r w:rsidR="00E7399E" w:rsidRPr="000800E3">
        <w:rPr>
          <w:rFonts w:ascii="Gill Sans MT" w:eastAsia="Times New Roman" w:hAnsi="Gill Sans MT" w:cs="Times New Roman"/>
          <w:color w:val="auto"/>
          <w:sz w:val="24"/>
          <w:lang w:val="en-GB"/>
        </w:rPr>
        <w:t xml:space="preserve">Annex 8, WHO Technical Report Series, No. 1052 </w:t>
      </w:r>
      <w:r w:rsidRPr="000800E3">
        <w:rPr>
          <w:rFonts w:ascii="Gill Sans MT" w:eastAsia="Times New Roman" w:hAnsi="Gill Sans MT" w:cs="Times New Roman"/>
          <w:color w:val="auto"/>
          <w:sz w:val="24"/>
          <w:lang w:val="en-GB"/>
        </w:rPr>
        <w:t>are in</w:t>
      </w:r>
      <w:r w:rsidR="464D5D55" w:rsidRPr="000800E3">
        <w:rPr>
          <w:rFonts w:ascii="Gill Sans MT" w:eastAsia="Times New Roman" w:hAnsi="Gill Sans MT" w:cs="Times New Roman"/>
          <w:color w:val="auto"/>
          <w:sz w:val="24"/>
          <w:lang w:val="en-GB"/>
        </w:rPr>
        <w:t xml:space="preserve"> </w:t>
      </w:r>
      <w:r w:rsidRPr="000800E3">
        <w:rPr>
          <w:rFonts w:ascii="Gill Sans MT" w:eastAsia="Times New Roman" w:hAnsi="Gill Sans MT" w:cs="Times New Roman"/>
          <w:color w:val="auto"/>
          <w:sz w:val="24"/>
          <w:lang w:val="en-GB"/>
        </w:rPr>
        <w:t>line with the SADC and AU agenda on regional integration and cooperation.</w:t>
      </w:r>
    </w:p>
    <w:p w14:paraId="1F952D05" w14:textId="77777777" w:rsidR="00FE35D9" w:rsidRPr="000800E3" w:rsidRDefault="00FE35D9" w:rsidP="000800E3">
      <w:pPr>
        <w:spacing w:after="160" w:line="276" w:lineRule="auto"/>
        <w:ind w:left="0" w:firstLine="0"/>
        <w:rPr>
          <w:rFonts w:ascii="Gill Sans MT" w:eastAsia="Times New Roman" w:hAnsi="Gill Sans MT" w:cs="Times New Roman"/>
          <w:b/>
          <w:color w:val="auto"/>
          <w:sz w:val="24"/>
          <w:lang w:val="en-GB"/>
        </w:rPr>
      </w:pPr>
    </w:p>
    <w:p w14:paraId="65868017" w14:textId="727C249A" w:rsidR="000D3DB7" w:rsidRPr="000800E3" w:rsidRDefault="65994E2E" w:rsidP="000800E3">
      <w:pPr>
        <w:spacing w:after="160" w:line="276" w:lineRule="auto"/>
        <w:ind w:left="0" w:firstLine="0"/>
        <w:rPr>
          <w:rFonts w:ascii="Gill Sans MT" w:eastAsia="Times New Roman" w:hAnsi="Gill Sans MT" w:cs="Times New Roman"/>
          <w:b/>
          <w:color w:val="auto"/>
          <w:sz w:val="24"/>
          <w:lang w:val="en-GB"/>
        </w:rPr>
      </w:pPr>
      <w:r w:rsidRPr="000800E3">
        <w:rPr>
          <w:rFonts w:ascii="Gill Sans MT" w:eastAsia="Times New Roman" w:hAnsi="Gill Sans MT" w:cs="Times New Roman"/>
          <w:b/>
          <w:color w:val="auto"/>
          <w:sz w:val="24"/>
          <w:lang w:val="en-GB"/>
        </w:rPr>
        <w:t>Scope</w:t>
      </w:r>
    </w:p>
    <w:p w14:paraId="3326409B" w14:textId="46DD072F" w:rsidR="000D3DB7" w:rsidRPr="000800E3" w:rsidRDefault="65994E2E" w:rsidP="000800E3">
      <w:pPr>
        <w:spacing w:before="120" w:after="80" w:line="276" w:lineRule="auto"/>
        <w:ind w:left="0" w:firstLine="0"/>
        <w:jc w:val="both"/>
        <w:rPr>
          <w:rFonts w:ascii="Gill Sans MT" w:eastAsia="Times New Roman" w:hAnsi="Gill Sans MT" w:cs="Times New Roman"/>
          <w:color w:val="auto"/>
          <w:sz w:val="24"/>
          <w:lang w:val="en-GB"/>
        </w:rPr>
      </w:pPr>
      <w:r w:rsidRPr="000800E3">
        <w:rPr>
          <w:rFonts w:ascii="Gill Sans MT" w:eastAsia="Times New Roman" w:hAnsi="Gill Sans MT" w:cs="Times New Roman"/>
          <w:color w:val="auto"/>
          <w:sz w:val="24"/>
          <w:lang w:val="en-GB"/>
        </w:rPr>
        <w:t xml:space="preserve">This guideline provides </w:t>
      </w:r>
      <w:r w:rsidR="0073414B" w:rsidRPr="000800E3">
        <w:rPr>
          <w:rFonts w:ascii="Gill Sans MT" w:eastAsia="Times New Roman" w:hAnsi="Gill Sans MT" w:cs="Times New Roman"/>
          <w:color w:val="auto"/>
          <w:sz w:val="24"/>
          <w:lang w:val="en-GB"/>
        </w:rPr>
        <w:t xml:space="preserve">general </w:t>
      </w:r>
      <w:r w:rsidR="003D1F52" w:rsidRPr="000800E3">
        <w:rPr>
          <w:rFonts w:ascii="Gill Sans MT" w:eastAsia="Times New Roman" w:hAnsi="Gill Sans MT" w:cs="Times New Roman"/>
          <w:color w:val="auto"/>
          <w:sz w:val="24"/>
          <w:lang w:val="en-GB"/>
        </w:rPr>
        <w:t>requirements on studies required to demonstrate interchangeability</w:t>
      </w:r>
      <w:r w:rsidR="00F14D78" w:rsidRPr="000800E3">
        <w:rPr>
          <w:rFonts w:ascii="Gill Sans MT" w:eastAsia="Times New Roman" w:hAnsi="Gill Sans MT" w:cs="Times New Roman"/>
          <w:color w:val="auto"/>
          <w:sz w:val="24"/>
          <w:lang w:val="en-GB"/>
        </w:rPr>
        <w:t xml:space="preserve"> of multi-source products (generics). </w:t>
      </w:r>
      <w:r w:rsidR="00A95C66" w:rsidRPr="000800E3">
        <w:rPr>
          <w:rFonts w:ascii="Gill Sans MT" w:eastAsia="Times New Roman" w:hAnsi="Gill Sans MT" w:cs="Times New Roman"/>
          <w:color w:val="auto"/>
          <w:sz w:val="24"/>
          <w:lang w:val="en-GB"/>
        </w:rPr>
        <w:t>This guidance is generally applicable to</w:t>
      </w:r>
      <w:r w:rsidR="00B461D4" w:rsidRPr="000800E3">
        <w:rPr>
          <w:rFonts w:ascii="Gill Sans MT" w:eastAsia="Times New Roman" w:hAnsi="Gill Sans MT" w:cs="Times New Roman"/>
          <w:color w:val="auto"/>
          <w:sz w:val="24"/>
          <w:lang w:val="en-GB"/>
        </w:rPr>
        <w:t xml:space="preserve"> </w:t>
      </w:r>
      <w:r w:rsidR="00A95C66" w:rsidRPr="000800E3">
        <w:rPr>
          <w:rFonts w:ascii="Gill Sans MT" w:eastAsia="Times New Roman" w:hAnsi="Gill Sans MT" w:cs="Times New Roman"/>
          <w:color w:val="auto"/>
          <w:sz w:val="24"/>
          <w:lang w:val="en-GB"/>
        </w:rPr>
        <w:t>orally administered multisource products as well as to non-orally administered</w:t>
      </w:r>
      <w:r w:rsidR="00B461D4" w:rsidRPr="000800E3">
        <w:rPr>
          <w:rFonts w:ascii="Gill Sans MT" w:eastAsia="Times New Roman" w:hAnsi="Gill Sans MT" w:cs="Times New Roman"/>
          <w:color w:val="auto"/>
          <w:sz w:val="24"/>
          <w:lang w:val="en-GB"/>
        </w:rPr>
        <w:t xml:space="preserve"> </w:t>
      </w:r>
      <w:r w:rsidR="00A95C66" w:rsidRPr="000800E3">
        <w:rPr>
          <w:rFonts w:ascii="Gill Sans MT" w:eastAsia="Times New Roman" w:hAnsi="Gill Sans MT" w:cs="Times New Roman"/>
          <w:color w:val="auto"/>
          <w:sz w:val="24"/>
          <w:lang w:val="en-GB"/>
        </w:rPr>
        <w:t>pharmaceutical products for which systemic exposure measures are suitable for</w:t>
      </w:r>
      <w:r w:rsidR="00B461D4" w:rsidRPr="000800E3">
        <w:rPr>
          <w:rFonts w:ascii="Gill Sans MT" w:eastAsia="Times New Roman" w:hAnsi="Gill Sans MT" w:cs="Times New Roman"/>
          <w:color w:val="auto"/>
          <w:sz w:val="24"/>
          <w:lang w:val="en-GB"/>
        </w:rPr>
        <w:t xml:space="preserve"> </w:t>
      </w:r>
      <w:r w:rsidR="00A95C66" w:rsidRPr="000800E3">
        <w:rPr>
          <w:rFonts w:ascii="Gill Sans MT" w:eastAsia="Times New Roman" w:hAnsi="Gill Sans MT" w:cs="Times New Roman"/>
          <w:color w:val="auto"/>
          <w:sz w:val="24"/>
          <w:lang w:val="en-GB"/>
        </w:rPr>
        <w:t>documenting bioequivalence. Some information</w:t>
      </w:r>
      <w:r w:rsidR="00B461D4" w:rsidRPr="000800E3">
        <w:rPr>
          <w:rFonts w:ascii="Gill Sans MT" w:eastAsia="Times New Roman" w:hAnsi="Gill Sans MT" w:cs="Times New Roman"/>
          <w:color w:val="auto"/>
          <w:sz w:val="24"/>
          <w:lang w:val="en-GB"/>
        </w:rPr>
        <w:t xml:space="preserve"> </w:t>
      </w:r>
      <w:r w:rsidR="00A95C66" w:rsidRPr="000800E3">
        <w:rPr>
          <w:rFonts w:ascii="Gill Sans MT" w:eastAsia="Times New Roman" w:hAnsi="Gill Sans MT" w:cs="Times New Roman"/>
          <w:color w:val="auto"/>
          <w:sz w:val="24"/>
          <w:lang w:val="en-GB"/>
        </w:rPr>
        <w:t xml:space="preserve">applicable to locally acting products is also provided in this document. </w:t>
      </w:r>
      <w:r w:rsidR="00A82268" w:rsidRPr="000800E3">
        <w:rPr>
          <w:rFonts w:ascii="Gill Sans MT" w:eastAsia="Times New Roman" w:hAnsi="Gill Sans MT" w:cs="Times New Roman"/>
          <w:color w:val="auto"/>
          <w:sz w:val="24"/>
          <w:lang w:val="en-GB"/>
        </w:rPr>
        <w:t xml:space="preserve"> This guideline also covers </w:t>
      </w:r>
      <w:r w:rsidR="009076CF" w:rsidRPr="000800E3">
        <w:rPr>
          <w:rFonts w:ascii="Gill Sans MT" w:eastAsia="Times New Roman" w:hAnsi="Gill Sans MT" w:cs="Times New Roman"/>
          <w:color w:val="auto"/>
          <w:sz w:val="24"/>
          <w:lang w:val="en-GB"/>
        </w:rPr>
        <w:t xml:space="preserve">requirements for </w:t>
      </w:r>
      <w:r w:rsidR="0039616E" w:rsidRPr="000800E3">
        <w:rPr>
          <w:rFonts w:ascii="Gill Sans MT" w:eastAsia="Times New Roman" w:hAnsi="Gill Sans MT" w:cs="Times New Roman"/>
          <w:color w:val="auto"/>
          <w:sz w:val="24"/>
          <w:lang w:val="en-GB"/>
        </w:rPr>
        <w:t xml:space="preserve">additional strength biowaivers. </w:t>
      </w:r>
      <w:r w:rsidR="009A4076" w:rsidRPr="000800E3">
        <w:rPr>
          <w:rFonts w:ascii="Gill Sans MT" w:eastAsia="Times New Roman" w:hAnsi="Gill Sans MT" w:cs="Times New Roman"/>
          <w:color w:val="auto"/>
          <w:sz w:val="24"/>
          <w:lang w:val="en-GB"/>
        </w:rPr>
        <w:t xml:space="preserve">Additional guidance may be found in other SADC guidelines </w:t>
      </w:r>
      <w:r w:rsidR="00AF0846" w:rsidRPr="000800E3">
        <w:rPr>
          <w:rFonts w:ascii="Gill Sans MT" w:eastAsia="Times New Roman" w:hAnsi="Gill Sans MT" w:cs="Times New Roman"/>
          <w:color w:val="auto"/>
          <w:sz w:val="24"/>
          <w:lang w:val="en-GB"/>
        </w:rPr>
        <w:t xml:space="preserve">on specific topics </w:t>
      </w:r>
      <w:r w:rsidR="009A4076" w:rsidRPr="000800E3">
        <w:rPr>
          <w:rFonts w:ascii="Gill Sans MT" w:eastAsia="Times New Roman" w:hAnsi="Gill Sans MT" w:cs="Times New Roman"/>
          <w:color w:val="auto"/>
          <w:sz w:val="24"/>
          <w:lang w:val="en-GB"/>
        </w:rPr>
        <w:t>on bioequivalence.</w:t>
      </w:r>
    </w:p>
    <w:p w14:paraId="2298F6F2" w14:textId="51F804E3" w:rsidR="000D3DB7" w:rsidRPr="000800E3" w:rsidRDefault="000D3DB7" w:rsidP="000800E3">
      <w:pPr>
        <w:spacing w:after="160" w:line="276" w:lineRule="auto"/>
        <w:ind w:left="0" w:firstLine="0"/>
        <w:rPr>
          <w:rFonts w:ascii="Gill Sans MT" w:eastAsia="Times New Roman" w:hAnsi="Gill Sans MT" w:cs="Times New Roman"/>
          <w:color w:val="auto"/>
          <w:sz w:val="24"/>
          <w:lang w:val="en-GB"/>
        </w:rPr>
      </w:pPr>
    </w:p>
    <w:p w14:paraId="2B797CDC" w14:textId="18BC6915" w:rsidR="000D3DB7" w:rsidRPr="000800E3" w:rsidRDefault="000D3DB7" w:rsidP="000800E3">
      <w:pPr>
        <w:spacing w:after="160" w:line="276" w:lineRule="auto"/>
        <w:ind w:left="0" w:firstLine="0"/>
        <w:rPr>
          <w:rFonts w:ascii="Gill Sans MT" w:eastAsia="Times New Roman" w:hAnsi="Gill Sans MT" w:cs="Times New Roman"/>
          <w:color w:val="auto"/>
          <w:sz w:val="24"/>
          <w:lang w:val="en-GB"/>
        </w:rPr>
      </w:pPr>
      <w:r w:rsidRPr="000800E3">
        <w:rPr>
          <w:rFonts w:ascii="Gill Sans MT" w:eastAsia="Times New Roman" w:hAnsi="Gill Sans MT" w:cs="Times New Roman"/>
          <w:b/>
          <w:color w:val="auto"/>
          <w:sz w:val="24"/>
          <w:lang w:val="en-GB"/>
        </w:rPr>
        <w:lastRenderedPageBreak/>
        <w:t>Validity</w:t>
      </w:r>
    </w:p>
    <w:p w14:paraId="54B73C1F" w14:textId="03F7E809" w:rsidR="00523FC4" w:rsidRPr="000800E3" w:rsidRDefault="02A8878B" w:rsidP="000800E3">
      <w:pPr>
        <w:spacing w:after="160" w:line="276" w:lineRule="auto"/>
        <w:ind w:left="0" w:firstLine="0"/>
        <w:jc w:val="both"/>
        <w:rPr>
          <w:rFonts w:ascii="Gill Sans MT" w:eastAsia="Times New Roman" w:hAnsi="Gill Sans MT" w:cs="Times New Roman"/>
          <w:color w:val="auto"/>
          <w:sz w:val="24"/>
          <w:lang w:val="en-GB"/>
        </w:rPr>
      </w:pPr>
      <w:r w:rsidRPr="000800E3">
        <w:rPr>
          <w:rFonts w:ascii="Gill Sans MT" w:eastAsia="Times New Roman" w:hAnsi="Gill Sans MT" w:cs="Times New Roman"/>
          <w:sz w:val="24"/>
          <w:lang w:val="en-GB"/>
        </w:rPr>
        <w:t>This document is effective from the date of adoption and shall be reviewed as required, but not later than five (5) years from the effective date.</w:t>
      </w:r>
      <w:r w:rsidR="43D18DD8" w:rsidRPr="000800E3">
        <w:rPr>
          <w:rFonts w:ascii="Gill Sans MT" w:eastAsia="Times New Roman" w:hAnsi="Gill Sans MT" w:cs="Times New Roman"/>
          <w:color w:val="auto"/>
          <w:sz w:val="24"/>
          <w:lang w:val="en-GB"/>
        </w:rPr>
        <w:t xml:space="preserve"> </w:t>
      </w:r>
      <w:r w:rsidR="108C8FEF" w:rsidRPr="000800E3">
        <w:rPr>
          <w:rFonts w:ascii="Gill Sans MT" w:eastAsia="Times New Roman" w:hAnsi="Gill Sans MT" w:cs="Times New Roman"/>
          <w:color w:val="auto"/>
          <w:sz w:val="24"/>
          <w:lang w:val="en-GB"/>
        </w:rPr>
        <w:t>In case of revision or updates to the source guideline</w:t>
      </w:r>
      <w:r w:rsidR="594B155F" w:rsidRPr="000800E3">
        <w:rPr>
          <w:rFonts w:ascii="Gill Sans MT" w:eastAsia="Times New Roman" w:hAnsi="Gill Sans MT" w:cs="Times New Roman"/>
          <w:color w:val="auto"/>
          <w:sz w:val="24"/>
          <w:lang w:val="en-GB"/>
        </w:rPr>
        <w:t>,</w:t>
      </w:r>
      <w:r w:rsidR="108C8FEF" w:rsidRPr="000800E3">
        <w:rPr>
          <w:rFonts w:ascii="Gill Sans MT" w:eastAsia="Times New Roman" w:hAnsi="Gill Sans MT" w:cs="Times New Roman"/>
          <w:color w:val="auto"/>
          <w:sz w:val="24"/>
          <w:lang w:val="en-GB"/>
        </w:rPr>
        <w:t xml:space="preserve"> </w:t>
      </w:r>
      <w:r w:rsidR="594B155F" w:rsidRPr="000800E3">
        <w:rPr>
          <w:rFonts w:ascii="Gill Sans MT" w:eastAsia="Times New Roman" w:hAnsi="Gill Sans MT" w:cs="Times New Roman"/>
          <w:color w:val="auto"/>
          <w:sz w:val="24"/>
          <w:lang w:val="en-GB"/>
        </w:rPr>
        <w:t xml:space="preserve">the latest version </w:t>
      </w:r>
      <w:r w:rsidR="35996F93" w:rsidRPr="000800E3">
        <w:rPr>
          <w:rFonts w:ascii="Gill Sans MT" w:eastAsia="Times New Roman" w:hAnsi="Gill Sans MT" w:cs="Times New Roman"/>
          <w:color w:val="auto"/>
          <w:sz w:val="24"/>
          <w:lang w:val="en-GB"/>
        </w:rPr>
        <w:t xml:space="preserve">automatically </w:t>
      </w:r>
      <w:r w:rsidR="594B155F" w:rsidRPr="000800E3">
        <w:rPr>
          <w:rFonts w:ascii="Gill Sans MT" w:eastAsia="Times New Roman" w:hAnsi="Gill Sans MT" w:cs="Times New Roman"/>
          <w:color w:val="auto"/>
          <w:sz w:val="24"/>
          <w:lang w:val="en-GB"/>
        </w:rPr>
        <w:t>applies</w:t>
      </w:r>
      <w:r w:rsidR="63B2410A" w:rsidRPr="000800E3">
        <w:rPr>
          <w:rFonts w:ascii="Gill Sans MT" w:eastAsia="Times New Roman" w:hAnsi="Gill Sans MT" w:cs="Times New Roman"/>
          <w:color w:val="auto"/>
          <w:sz w:val="24"/>
          <w:lang w:val="en-GB"/>
        </w:rPr>
        <w:t>, unless a specific transition period is specified by SADC</w:t>
      </w:r>
      <w:r w:rsidR="594B155F" w:rsidRPr="000800E3">
        <w:rPr>
          <w:rFonts w:ascii="Gill Sans MT" w:eastAsia="Times New Roman" w:hAnsi="Gill Sans MT" w:cs="Times New Roman"/>
          <w:color w:val="auto"/>
          <w:sz w:val="24"/>
          <w:lang w:val="en-GB"/>
        </w:rPr>
        <w:t>.</w:t>
      </w:r>
    </w:p>
    <w:p w14:paraId="3D46547E" w14:textId="77777777" w:rsidR="00EA1548" w:rsidRDefault="00EA1548" w:rsidP="00EA1548">
      <w:pPr>
        <w:spacing w:before="240" w:after="240" w:line="276" w:lineRule="auto"/>
        <w:rPr>
          <w:rFonts w:ascii="Gill Sans MT" w:eastAsia="Times New Roman" w:hAnsi="Gill Sans MT" w:cs="Times New Roman"/>
          <w:b/>
          <w:bCs/>
          <w:color w:val="auto"/>
          <w:sz w:val="24"/>
          <w:lang w:val="en-GB"/>
        </w:rPr>
      </w:pPr>
    </w:p>
    <w:p w14:paraId="236F93C8" w14:textId="072F5115" w:rsidR="1C716182" w:rsidRPr="000800E3" w:rsidRDefault="50D747A2" w:rsidP="000800E3">
      <w:pPr>
        <w:spacing w:before="240" w:after="240" w:line="276" w:lineRule="auto"/>
        <w:rPr>
          <w:rFonts w:ascii="Gill Sans MT" w:eastAsia="Times New Roman" w:hAnsi="Gill Sans MT" w:cs="Times New Roman"/>
          <w:b/>
          <w:color w:val="auto"/>
          <w:sz w:val="24"/>
          <w:lang w:val="en-GB"/>
        </w:rPr>
      </w:pPr>
      <w:r w:rsidRPr="000800E3">
        <w:rPr>
          <w:rFonts w:ascii="Gill Sans MT" w:eastAsia="Times New Roman" w:hAnsi="Gill Sans MT" w:cs="Times New Roman"/>
          <w:b/>
          <w:bCs/>
          <w:color w:val="auto"/>
          <w:sz w:val="24"/>
          <w:lang w:val="en-GB"/>
        </w:rPr>
        <w:t>ANNOTATIONS/NOTES</w:t>
      </w:r>
    </w:p>
    <w:p w14:paraId="0B2247A3" w14:textId="77777777" w:rsidR="000A2735" w:rsidRPr="000800E3" w:rsidRDefault="000A2735" w:rsidP="000800E3">
      <w:pPr>
        <w:spacing w:before="240" w:after="240" w:line="276" w:lineRule="auto"/>
        <w:ind w:left="12" w:firstLine="0"/>
        <w:rPr>
          <w:rFonts w:ascii="Gill Sans MT" w:eastAsia="Times New Roman" w:hAnsi="Gill Sans MT" w:cs="Times New Roman"/>
          <w:b/>
          <w:bCs/>
          <w:i/>
          <w:iCs/>
          <w:color w:val="000000" w:themeColor="text1"/>
          <w:sz w:val="24"/>
          <w:lang w:val="en-GB"/>
        </w:rPr>
      </w:pPr>
      <w:bookmarkStart w:id="1" w:name="_Hlk215587381"/>
      <w:r w:rsidRPr="000800E3">
        <w:rPr>
          <w:rFonts w:ascii="Gill Sans MT" w:eastAsia="Times New Roman" w:hAnsi="Gill Sans MT" w:cs="Times New Roman"/>
          <w:b/>
          <w:bCs/>
          <w:i/>
          <w:iCs/>
          <w:color w:val="000000" w:themeColor="text1"/>
          <w:sz w:val="24"/>
          <w:lang w:val="en-GB"/>
        </w:rPr>
        <w:t>Oral Immediate Release Solid Dosage Forms</w:t>
      </w:r>
    </w:p>
    <w:bookmarkEnd w:id="1"/>
    <w:p w14:paraId="5449923E" w14:textId="6DD2A918" w:rsidR="00A1607C" w:rsidRPr="000800E3" w:rsidRDefault="000C6ABE" w:rsidP="000800E3">
      <w:pPr>
        <w:spacing w:line="276" w:lineRule="auto"/>
        <w:jc w:val="both"/>
        <w:rPr>
          <w:rFonts w:ascii="Gill Sans MT" w:hAnsi="Gill Sans MT" w:cs="Times New Roman"/>
          <w:iCs/>
          <w:sz w:val="24"/>
          <w:lang w:val="en-GB"/>
        </w:rPr>
      </w:pPr>
      <w:r w:rsidRPr="000800E3">
        <w:rPr>
          <w:rFonts w:ascii="Gill Sans MT" w:hAnsi="Gill Sans MT" w:cs="Times New Roman"/>
          <w:iCs/>
          <w:sz w:val="24"/>
          <w:lang w:val="en-GB"/>
        </w:rPr>
        <w:t>The requirements for BE of Oral Immediate Release Solid Dosage Forms are detailed in the SADC Guideline on bioequivalence for immediate-release solid oral dosage forms. Requirements in Annex 8 TRS 1052 are also acceptable.</w:t>
      </w:r>
    </w:p>
    <w:p w14:paraId="648CCE61" w14:textId="658217CE" w:rsidR="00E65EA1" w:rsidRPr="000800E3" w:rsidRDefault="00E65EA1" w:rsidP="000800E3">
      <w:pPr>
        <w:spacing w:line="276" w:lineRule="auto"/>
        <w:jc w:val="both"/>
        <w:rPr>
          <w:rFonts w:ascii="Gill Sans MT" w:hAnsi="Gill Sans MT" w:cs="Times New Roman"/>
          <w:b/>
          <w:bCs/>
          <w:i/>
          <w:sz w:val="24"/>
          <w:lang w:val="en-GB"/>
        </w:rPr>
      </w:pPr>
      <w:r w:rsidRPr="000800E3">
        <w:rPr>
          <w:rFonts w:ascii="Gill Sans MT" w:hAnsi="Gill Sans MT" w:cs="Times New Roman"/>
          <w:b/>
          <w:bCs/>
          <w:i/>
          <w:sz w:val="24"/>
          <w:lang w:val="en-GB"/>
        </w:rPr>
        <w:t>Study Designs</w:t>
      </w:r>
    </w:p>
    <w:p w14:paraId="2470A217" w14:textId="77777777" w:rsidR="00E65EA1" w:rsidRPr="000800E3" w:rsidRDefault="00E65EA1" w:rsidP="000800E3">
      <w:pPr>
        <w:spacing w:before="240" w:after="240" w:line="276" w:lineRule="auto"/>
        <w:jc w:val="both"/>
        <w:rPr>
          <w:rFonts w:ascii="Gill Sans MT" w:eastAsia="Times New Roman" w:hAnsi="Gill Sans MT" w:cs="Times New Roman"/>
          <w:sz w:val="24"/>
        </w:rPr>
      </w:pPr>
      <w:r w:rsidRPr="000800E3">
        <w:rPr>
          <w:rFonts w:ascii="Gill Sans MT" w:eastAsia="Times New Roman" w:hAnsi="Gill Sans MT" w:cs="Times New Roman"/>
          <w:sz w:val="24"/>
        </w:rPr>
        <w:t xml:space="preserve">With respect to study design, product-specific guidance issued by the WHO, EMA and the US FDA, </w:t>
      </w:r>
      <w:proofErr w:type="gramStart"/>
      <w:r w:rsidRPr="000800E3">
        <w:rPr>
          <w:rFonts w:ascii="Gill Sans MT" w:eastAsia="Times New Roman" w:hAnsi="Gill Sans MT" w:cs="Times New Roman"/>
          <w:sz w:val="24"/>
        </w:rPr>
        <w:t>shall</w:t>
      </w:r>
      <w:proofErr w:type="gramEnd"/>
      <w:r w:rsidRPr="000800E3">
        <w:rPr>
          <w:rFonts w:ascii="Gill Sans MT" w:eastAsia="Times New Roman" w:hAnsi="Gill Sans MT" w:cs="Times New Roman"/>
          <w:sz w:val="24"/>
        </w:rPr>
        <w:t xml:space="preserve"> be considered acceptable.</w:t>
      </w:r>
    </w:p>
    <w:p w14:paraId="035C1C87" w14:textId="0A010FFF" w:rsidR="009912B9" w:rsidRPr="000800E3" w:rsidRDefault="00C96CDE" w:rsidP="000800E3">
      <w:pPr>
        <w:spacing w:line="276" w:lineRule="auto"/>
        <w:jc w:val="both"/>
        <w:rPr>
          <w:rFonts w:ascii="Gill Sans MT" w:hAnsi="Gill Sans MT" w:cs="Times New Roman"/>
          <w:b/>
          <w:bCs/>
          <w:i/>
          <w:sz w:val="24"/>
          <w:lang w:val="en-GB"/>
        </w:rPr>
      </w:pPr>
      <w:r w:rsidRPr="000800E3">
        <w:rPr>
          <w:rFonts w:ascii="Gill Sans MT" w:hAnsi="Gill Sans MT" w:cs="Times New Roman"/>
          <w:b/>
          <w:bCs/>
          <w:i/>
          <w:sz w:val="24"/>
          <w:lang w:val="en-GB"/>
        </w:rPr>
        <w:t>Bioanalytical Method Validation and Study Sample Analysis</w:t>
      </w:r>
    </w:p>
    <w:p w14:paraId="34635572" w14:textId="3470D10B" w:rsidR="00C96CDE" w:rsidRPr="000800E3" w:rsidRDefault="00C96CDE" w:rsidP="000800E3">
      <w:pPr>
        <w:spacing w:line="276" w:lineRule="auto"/>
        <w:jc w:val="both"/>
        <w:rPr>
          <w:rFonts w:ascii="Gill Sans MT" w:hAnsi="Gill Sans MT" w:cs="Times New Roman"/>
          <w:iCs/>
          <w:sz w:val="24"/>
          <w:lang w:val="en-GB"/>
        </w:rPr>
      </w:pPr>
      <w:r w:rsidRPr="000800E3">
        <w:rPr>
          <w:rFonts w:ascii="Gill Sans MT" w:hAnsi="Gill Sans MT" w:cs="Times New Roman"/>
          <w:iCs/>
          <w:sz w:val="24"/>
          <w:lang w:val="en-GB"/>
        </w:rPr>
        <w:t xml:space="preserve">Applicants should refer to the SADC </w:t>
      </w:r>
      <w:r w:rsidR="00694690" w:rsidRPr="000800E3">
        <w:rPr>
          <w:rFonts w:ascii="Gill Sans MT" w:hAnsi="Gill Sans MT" w:cs="Times New Roman"/>
          <w:iCs/>
          <w:sz w:val="24"/>
          <w:lang w:val="en-GB"/>
        </w:rPr>
        <w:t xml:space="preserve">Guideline on </w:t>
      </w:r>
      <w:r w:rsidRPr="000800E3">
        <w:rPr>
          <w:rFonts w:ascii="Gill Sans MT" w:hAnsi="Gill Sans MT" w:cs="Times New Roman"/>
          <w:iCs/>
          <w:sz w:val="24"/>
          <w:lang w:val="en-GB"/>
        </w:rPr>
        <w:t>Bioanalytical Method Validation and Study Sample Analysis for detailed requirements on method validation and study sample analysis.</w:t>
      </w:r>
    </w:p>
    <w:p w14:paraId="4D1A567E" w14:textId="0C35E86D" w:rsidR="00440935" w:rsidRPr="000800E3" w:rsidRDefault="00440935" w:rsidP="000800E3">
      <w:pPr>
        <w:spacing w:before="240" w:after="240" w:line="276" w:lineRule="auto"/>
        <w:ind w:left="12" w:firstLine="0"/>
        <w:rPr>
          <w:rFonts w:ascii="Gill Sans MT" w:eastAsia="Times New Roman" w:hAnsi="Gill Sans MT" w:cs="Times New Roman"/>
          <w:b/>
          <w:bCs/>
          <w:i/>
          <w:iCs/>
          <w:color w:val="000000" w:themeColor="text1"/>
          <w:sz w:val="24"/>
          <w:lang w:val="en-GB"/>
        </w:rPr>
      </w:pPr>
      <w:r w:rsidRPr="000800E3">
        <w:rPr>
          <w:rFonts w:ascii="Gill Sans MT" w:eastAsia="Times New Roman" w:hAnsi="Gill Sans MT" w:cs="Times New Roman"/>
          <w:b/>
          <w:bCs/>
          <w:i/>
          <w:iCs/>
          <w:color w:val="000000" w:themeColor="text1"/>
          <w:sz w:val="24"/>
          <w:lang w:val="en-GB"/>
        </w:rPr>
        <w:t>Effects of alcohol on prolonged release formulations</w:t>
      </w:r>
    </w:p>
    <w:p w14:paraId="64292605" w14:textId="078B4E01" w:rsidR="00C52C44" w:rsidRPr="000800E3" w:rsidRDefault="00C52C44" w:rsidP="000800E3">
      <w:pPr>
        <w:spacing w:before="240" w:after="240" w:line="276" w:lineRule="auto"/>
        <w:ind w:left="12" w:firstLine="0"/>
        <w:jc w:val="both"/>
        <w:rPr>
          <w:rFonts w:ascii="Gill Sans MT" w:eastAsia="Times New Roman" w:hAnsi="Gill Sans MT" w:cs="Times New Roman"/>
          <w:sz w:val="24"/>
          <w:lang w:val="en-GB"/>
        </w:rPr>
      </w:pPr>
      <w:r w:rsidRPr="000800E3">
        <w:rPr>
          <w:rFonts w:ascii="Gill Sans MT" w:eastAsia="Times New Roman" w:hAnsi="Gill Sans MT" w:cs="Times New Roman"/>
          <w:sz w:val="24"/>
          <w:lang w:val="en-GB"/>
        </w:rPr>
        <w:t>For generic oral prolonged release formulations, in vitro studies of the release in different concentrations of alcohol solutions should be performed, in addition to requirements for the three studies (fasted, fed and multiple dose studies). Recommendation under Section 6.9 of EMA Guideline on the pharmacokinetic and clinical evaluation of modified release dosage forms (EMA/CHMP/EWP/280/96</w:t>
      </w:r>
      <w:r w:rsidR="00141F98" w:rsidRPr="000800E3">
        <w:rPr>
          <w:rFonts w:ascii="Gill Sans MT" w:eastAsia="Times New Roman" w:hAnsi="Gill Sans MT" w:cs="Times New Roman"/>
          <w:sz w:val="24"/>
          <w:lang w:val="en-GB"/>
        </w:rPr>
        <w:t xml:space="preserve">, </w:t>
      </w:r>
      <w:r w:rsidRPr="000800E3">
        <w:rPr>
          <w:rFonts w:ascii="Gill Sans MT" w:eastAsia="Times New Roman" w:hAnsi="Gill Sans MT" w:cs="Times New Roman"/>
          <w:sz w:val="24"/>
          <w:lang w:val="en-GB"/>
        </w:rPr>
        <w:t xml:space="preserve">Rev1) accessible at: </w:t>
      </w:r>
      <w:hyperlink r:id="rId13" w:history="1">
        <w:r w:rsidR="00141F98" w:rsidRPr="000800E3">
          <w:rPr>
            <w:rStyle w:val="Hyperlink"/>
            <w:rFonts w:ascii="Gill Sans MT" w:eastAsia="Times New Roman" w:hAnsi="Gill Sans MT" w:cs="Times New Roman"/>
            <w:sz w:val="24"/>
            <w:lang w:val="en-GB"/>
          </w:rPr>
          <w:t>https://www.ema.europa.eu/en/documents/scientific-guideline/guideline-pharmacokinetic-and-clinical-evaluation-modified-release-dosage-forms_en.pdf</w:t>
        </w:r>
      </w:hyperlink>
      <w:r w:rsidRPr="000800E3">
        <w:rPr>
          <w:rFonts w:ascii="Gill Sans MT" w:eastAsia="Times New Roman" w:hAnsi="Gill Sans MT" w:cs="Times New Roman"/>
          <w:sz w:val="24"/>
          <w:lang w:val="en-GB"/>
        </w:rPr>
        <w:t>,</w:t>
      </w:r>
      <w:r w:rsidR="00141F98" w:rsidRPr="000800E3">
        <w:rPr>
          <w:rFonts w:ascii="Gill Sans MT" w:eastAsia="Times New Roman" w:hAnsi="Gill Sans MT" w:cs="Times New Roman"/>
          <w:sz w:val="24"/>
          <w:lang w:val="en-GB"/>
        </w:rPr>
        <w:t xml:space="preserve"> </w:t>
      </w:r>
      <w:r w:rsidRPr="000800E3">
        <w:rPr>
          <w:rFonts w:ascii="Gill Sans MT" w:eastAsia="Times New Roman" w:hAnsi="Gill Sans MT" w:cs="Times New Roman"/>
          <w:sz w:val="24"/>
          <w:lang w:val="en-GB"/>
        </w:rPr>
        <w:t>are generally accepted.</w:t>
      </w:r>
    </w:p>
    <w:p w14:paraId="537EADE2" w14:textId="6FCAFBA5" w:rsidR="009E0699" w:rsidRPr="000800E3" w:rsidRDefault="009E0699" w:rsidP="000800E3">
      <w:pPr>
        <w:spacing w:before="240" w:after="240" w:line="276" w:lineRule="auto"/>
        <w:jc w:val="both"/>
        <w:rPr>
          <w:rFonts w:ascii="Gill Sans MT" w:eastAsia="Times New Roman" w:hAnsi="Gill Sans MT" w:cs="Times New Roman"/>
          <w:b/>
          <w:bCs/>
          <w:i/>
          <w:iCs/>
          <w:sz w:val="24"/>
          <w:lang w:val="en-GB"/>
        </w:rPr>
      </w:pPr>
      <w:r w:rsidRPr="000800E3">
        <w:rPr>
          <w:rFonts w:ascii="Gill Sans MT" w:eastAsia="Times New Roman" w:hAnsi="Gill Sans MT" w:cs="Times New Roman"/>
          <w:b/>
          <w:bCs/>
          <w:i/>
          <w:iCs/>
          <w:sz w:val="24"/>
          <w:lang w:val="en-GB"/>
        </w:rPr>
        <w:t xml:space="preserve">Additional </w:t>
      </w:r>
      <w:r w:rsidR="00DB36F2" w:rsidRPr="000800E3">
        <w:rPr>
          <w:rFonts w:ascii="Gill Sans MT" w:eastAsia="Times New Roman" w:hAnsi="Gill Sans MT" w:cs="Times New Roman"/>
          <w:b/>
          <w:bCs/>
          <w:i/>
          <w:iCs/>
          <w:sz w:val="24"/>
          <w:lang w:val="en-GB"/>
        </w:rPr>
        <w:t>References</w:t>
      </w:r>
    </w:p>
    <w:p w14:paraId="21FC6B58" w14:textId="77777777" w:rsidR="003B506E" w:rsidRPr="000800E3" w:rsidRDefault="00D965FD" w:rsidP="000800E3">
      <w:pPr>
        <w:spacing w:before="240" w:after="240" w:line="276" w:lineRule="auto"/>
        <w:jc w:val="both"/>
        <w:rPr>
          <w:rFonts w:ascii="Gill Sans MT" w:eastAsia="Times New Roman" w:hAnsi="Gill Sans MT" w:cs="Times New Roman"/>
          <w:sz w:val="24"/>
          <w:lang w:val="en-GB"/>
        </w:rPr>
      </w:pPr>
      <w:r w:rsidRPr="000800E3">
        <w:rPr>
          <w:rFonts w:ascii="Gill Sans MT" w:eastAsia="Times New Roman" w:hAnsi="Gill Sans MT" w:cs="Times New Roman"/>
          <w:sz w:val="24"/>
          <w:lang w:val="en-GB"/>
        </w:rPr>
        <w:t>Add</w:t>
      </w:r>
      <w:r w:rsidR="003B506E" w:rsidRPr="000800E3">
        <w:rPr>
          <w:rFonts w:ascii="Gill Sans MT" w:eastAsia="Times New Roman" w:hAnsi="Gill Sans MT" w:cs="Times New Roman"/>
          <w:sz w:val="24"/>
          <w:lang w:val="en-GB"/>
        </w:rPr>
        <w:t xml:space="preserve">itional information is provided in the following documents. </w:t>
      </w:r>
    </w:p>
    <w:p w14:paraId="7D178E92" w14:textId="194611D4" w:rsidR="009E07E4" w:rsidRPr="000800E3" w:rsidRDefault="00DF577D" w:rsidP="000800E3">
      <w:pPr>
        <w:spacing w:line="276" w:lineRule="auto"/>
        <w:jc w:val="both"/>
        <w:rPr>
          <w:rFonts w:ascii="Gill Sans MT" w:hAnsi="Gill Sans MT" w:cs="Times New Roman"/>
          <w:sz w:val="24"/>
          <w:lang w:val="en-GB"/>
        </w:rPr>
      </w:pPr>
      <w:r w:rsidRPr="000800E3">
        <w:rPr>
          <w:rFonts w:ascii="Gill Sans MT" w:eastAsia="Times New Roman" w:hAnsi="Gill Sans MT" w:cs="Times New Roman"/>
          <w:sz w:val="24"/>
          <w:lang w:val="en-GB"/>
        </w:rPr>
        <w:t>WHO PQT/MED</w:t>
      </w:r>
      <w:r w:rsidR="00AA362F" w:rsidRPr="000800E3">
        <w:rPr>
          <w:rFonts w:ascii="Gill Sans MT" w:eastAsia="Times New Roman" w:hAnsi="Gill Sans MT" w:cs="Times New Roman"/>
          <w:sz w:val="24"/>
          <w:lang w:val="en-GB"/>
        </w:rPr>
        <w:t xml:space="preserve">’s </w:t>
      </w:r>
      <w:r w:rsidR="00615460" w:rsidRPr="000800E3">
        <w:rPr>
          <w:rFonts w:ascii="Gill Sans MT" w:eastAsia="Times New Roman" w:hAnsi="Gill Sans MT" w:cs="Times New Roman"/>
          <w:sz w:val="24"/>
          <w:lang w:val="en-GB"/>
        </w:rPr>
        <w:t xml:space="preserve">annotations to </w:t>
      </w:r>
      <w:r w:rsidR="001C57C9" w:rsidRPr="000800E3">
        <w:rPr>
          <w:rFonts w:ascii="Gill Sans MT" w:eastAsia="Times New Roman" w:hAnsi="Gill Sans MT" w:cs="Times New Roman"/>
          <w:sz w:val="24"/>
          <w:lang w:val="en-GB"/>
        </w:rPr>
        <w:t xml:space="preserve">section of </w:t>
      </w:r>
      <w:r w:rsidR="00AA0019" w:rsidRPr="000800E3">
        <w:rPr>
          <w:rFonts w:ascii="Gill Sans MT" w:eastAsia="Times New Roman" w:hAnsi="Gill Sans MT" w:cs="Times New Roman"/>
          <w:sz w:val="24"/>
          <w:lang w:val="en-GB"/>
        </w:rPr>
        <w:t>Annex 8, WHO Technical Report Series (TRS) No. 1</w:t>
      </w:r>
      <w:r w:rsidR="00B7352F" w:rsidRPr="000800E3">
        <w:rPr>
          <w:rFonts w:ascii="Gill Sans MT" w:eastAsia="Times New Roman" w:hAnsi="Gill Sans MT" w:cs="Times New Roman"/>
          <w:sz w:val="24"/>
          <w:lang w:val="en-GB"/>
        </w:rPr>
        <w:t xml:space="preserve">052, </w:t>
      </w:r>
      <w:r w:rsidR="001C57C9" w:rsidRPr="000800E3">
        <w:rPr>
          <w:rFonts w:ascii="Gill Sans MT" w:eastAsia="Times New Roman" w:hAnsi="Gill Sans MT" w:cs="Times New Roman"/>
          <w:sz w:val="24"/>
          <w:lang w:val="en-GB"/>
        </w:rPr>
        <w:t xml:space="preserve">2024, published </w:t>
      </w:r>
      <w:r w:rsidR="009E07E4" w:rsidRPr="000800E3">
        <w:rPr>
          <w:rFonts w:ascii="Gill Sans MT" w:eastAsia="Times New Roman" w:hAnsi="Gill Sans MT" w:cs="Times New Roman"/>
          <w:sz w:val="24"/>
          <w:lang w:val="en-GB"/>
        </w:rPr>
        <w:t xml:space="preserve">in the </w:t>
      </w:r>
      <w:r w:rsidR="00615460" w:rsidRPr="000800E3">
        <w:rPr>
          <w:rFonts w:ascii="Gill Sans MT" w:hAnsi="Gill Sans MT" w:cs="Times New Roman"/>
          <w:sz w:val="24"/>
          <w:lang w:val="en-GB"/>
        </w:rPr>
        <w:t>following documents:</w:t>
      </w:r>
    </w:p>
    <w:p w14:paraId="33BC910B" w14:textId="6389E218" w:rsidR="00615460" w:rsidRPr="000800E3" w:rsidRDefault="00615460" w:rsidP="000800E3">
      <w:pPr>
        <w:pStyle w:val="ListParagraph"/>
        <w:numPr>
          <w:ilvl w:val="0"/>
          <w:numId w:val="6"/>
        </w:numPr>
        <w:spacing w:before="240" w:after="240" w:line="276" w:lineRule="auto"/>
        <w:jc w:val="both"/>
        <w:rPr>
          <w:rFonts w:ascii="Gill Sans MT" w:eastAsia="Times New Roman" w:hAnsi="Gill Sans MT" w:cs="Times New Roman"/>
          <w:sz w:val="24"/>
          <w:lang w:val="en-GB"/>
        </w:rPr>
      </w:pPr>
      <w:r w:rsidRPr="000800E3">
        <w:rPr>
          <w:rFonts w:ascii="Gill Sans MT" w:eastAsia="Times New Roman" w:hAnsi="Gill Sans MT" w:cs="Times New Roman"/>
          <w:sz w:val="24"/>
          <w:lang w:val="en-GB"/>
        </w:rPr>
        <w:t>Application of reference-scaled criteria for AUC in bioequivalence studies conducted for submission to PQT/MED (</w:t>
      </w:r>
      <w:hyperlink r:id="rId14" w:history="1">
        <w:r w:rsidR="006B36B8" w:rsidRPr="000800E3">
          <w:rPr>
            <w:rStyle w:val="Hyperlink"/>
            <w:rFonts w:ascii="Gill Sans MT" w:eastAsia="Times New Roman" w:hAnsi="Gill Sans MT" w:cs="Times New Roman"/>
            <w:sz w:val="24"/>
            <w:lang w:val="en-GB"/>
          </w:rPr>
          <w:t>https://extranet.who.int/prequal/sites/default/files/document_files/AUC_criteria_July2021.pdf</w:t>
        </w:r>
      </w:hyperlink>
      <w:r w:rsidRPr="000800E3">
        <w:rPr>
          <w:rFonts w:ascii="Gill Sans MT" w:eastAsia="Times New Roman" w:hAnsi="Gill Sans MT" w:cs="Times New Roman"/>
          <w:sz w:val="24"/>
          <w:lang w:val="en-GB"/>
        </w:rPr>
        <w:t>)</w:t>
      </w:r>
    </w:p>
    <w:p w14:paraId="438B5385" w14:textId="763A2303" w:rsidR="00A271E5" w:rsidRPr="000800E3" w:rsidRDefault="00A271E5" w:rsidP="000800E3">
      <w:pPr>
        <w:pStyle w:val="ListParagraph"/>
        <w:numPr>
          <w:ilvl w:val="0"/>
          <w:numId w:val="6"/>
        </w:numPr>
        <w:spacing w:before="240" w:after="240" w:line="276" w:lineRule="auto"/>
        <w:jc w:val="both"/>
        <w:rPr>
          <w:rFonts w:ascii="Gill Sans MT" w:eastAsia="Times New Roman" w:hAnsi="Gill Sans MT" w:cs="Times New Roman"/>
          <w:sz w:val="24"/>
          <w:lang w:val="en-GB"/>
        </w:rPr>
      </w:pPr>
      <w:r w:rsidRPr="000800E3">
        <w:rPr>
          <w:rFonts w:ascii="Gill Sans MT" w:eastAsia="Times New Roman" w:hAnsi="Gill Sans MT" w:cs="Times New Roman"/>
          <w:sz w:val="24"/>
          <w:lang w:val="en-GB"/>
        </w:rPr>
        <w:lastRenderedPageBreak/>
        <w:t>PQT/MED-specific Annotations for Additional Strength Biowaiver Applications (21 May 2021)</w:t>
      </w:r>
      <w:r w:rsidR="0006253D" w:rsidRPr="000800E3">
        <w:rPr>
          <w:rFonts w:ascii="Gill Sans MT" w:eastAsia="Times New Roman" w:hAnsi="Gill Sans MT" w:cs="Times New Roman"/>
          <w:sz w:val="24"/>
          <w:lang w:val="en-GB"/>
        </w:rPr>
        <w:t xml:space="preserve"> (</w:t>
      </w:r>
      <w:hyperlink r:id="rId15" w:history="1">
        <w:r w:rsidR="005E76FF" w:rsidRPr="000800E3">
          <w:rPr>
            <w:rStyle w:val="Hyperlink"/>
            <w:rFonts w:ascii="Gill Sans MT" w:eastAsia="Times New Roman" w:hAnsi="Gill Sans MT" w:cs="Times New Roman"/>
            <w:sz w:val="24"/>
            <w:lang w:val="en-GB"/>
          </w:rPr>
          <w:t>https://extranet.who.int/prequal/sites/default/files/document_files/Additional_Strength_Biowaiver_Guideline_May2021.pdf</w:t>
        </w:r>
      </w:hyperlink>
      <w:r w:rsidR="0006253D" w:rsidRPr="000800E3">
        <w:rPr>
          <w:rFonts w:ascii="Gill Sans MT" w:eastAsia="Times New Roman" w:hAnsi="Gill Sans MT" w:cs="Times New Roman"/>
          <w:sz w:val="24"/>
          <w:lang w:val="en-GB"/>
        </w:rPr>
        <w:t>)</w:t>
      </w:r>
      <w:r w:rsidR="005E76FF" w:rsidRPr="000800E3">
        <w:rPr>
          <w:rFonts w:ascii="Gill Sans MT" w:eastAsia="Times New Roman" w:hAnsi="Gill Sans MT" w:cs="Times New Roman"/>
          <w:sz w:val="24"/>
          <w:lang w:val="en-GB"/>
        </w:rPr>
        <w:t xml:space="preserve"> </w:t>
      </w:r>
    </w:p>
    <w:p w14:paraId="0325B9BF" w14:textId="126EE672" w:rsidR="006B36B8" w:rsidRPr="000800E3" w:rsidRDefault="00EE4F00" w:rsidP="000800E3">
      <w:pPr>
        <w:pStyle w:val="ListParagraph"/>
        <w:numPr>
          <w:ilvl w:val="0"/>
          <w:numId w:val="6"/>
        </w:numPr>
        <w:spacing w:before="240" w:after="240" w:line="276" w:lineRule="auto"/>
        <w:jc w:val="both"/>
        <w:rPr>
          <w:rFonts w:ascii="Gill Sans MT" w:eastAsia="Times New Roman" w:hAnsi="Gill Sans MT" w:cs="Times New Roman"/>
          <w:sz w:val="24"/>
          <w:lang w:val="en-GB"/>
        </w:rPr>
      </w:pPr>
      <w:r w:rsidRPr="000800E3">
        <w:rPr>
          <w:rFonts w:ascii="Gill Sans MT" w:eastAsia="Times New Roman" w:hAnsi="Gill Sans MT" w:cs="Times New Roman"/>
          <w:sz w:val="24"/>
          <w:lang w:val="en-GB"/>
        </w:rPr>
        <w:t>Frequent Deficiencies in Bioequivalence Study Protocols</w:t>
      </w:r>
      <w:r w:rsidR="002C3F65" w:rsidRPr="000800E3">
        <w:rPr>
          <w:rFonts w:ascii="Gill Sans MT" w:eastAsia="Times New Roman" w:hAnsi="Gill Sans MT" w:cs="Times New Roman"/>
          <w:sz w:val="24"/>
          <w:lang w:val="en-GB"/>
        </w:rPr>
        <w:t xml:space="preserve"> (</w:t>
      </w:r>
      <w:hyperlink r:id="rId16" w:history="1">
        <w:r w:rsidR="002F7CA4" w:rsidRPr="000800E3">
          <w:rPr>
            <w:rStyle w:val="Hyperlink"/>
            <w:rFonts w:ascii="Gill Sans MT" w:eastAsia="Times New Roman" w:hAnsi="Gill Sans MT" w:cs="Times New Roman"/>
            <w:sz w:val="24"/>
            <w:lang w:val="en-GB"/>
          </w:rPr>
          <w:t>https://extranet.who.int/prequal/sites/default/files/document_files/Frequent-Deficiencies_BE-Protocols_April2025_0.pdf</w:t>
        </w:r>
      </w:hyperlink>
      <w:r w:rsidR="002C3F65" w:rsidRPr="000800E3">
        <w:rPr>
          <w:rFonts w:ascii="Gill Sans MT" w:eastAsia="Times New Roman" w:hAnsi="Gill Sans MT" w:cs="Times New Roman"/>
          <w:sz w:val="24"/>
          <w:lang w:val="en-GB"/>
        </w:rPr>
        <w:t>)</w:t>
      </w:r>
    </w:p>
    <w:p w14:paraId="4C16825A" w14:textId="4C7D42CA" w:rsidR="00620AA8" w:rsidRPr="000800E3" w:rsidRDefault="00031899" w:rsidP="000800E3">
      <w:pPr>
        <w:pStyle w:val="ListParagraph"/>
        <w:numPr>
          <w:ilvl w:val="0"/>
          <w:numId w:val="6"/>
        </w:numPr>
        <w:spacing w:before="240" w:after="240" w:line="276" w:lineRule="auto"/>
        <w:jc w:val="both"/>
        <w:rPr>
          <w:rFonts w:ascii="Gill Sans MT" w:eastAsia="Times New Roman" w:hAnsi="Gill Sans MT" w:cs="Times New Roman"/>
          <w:sz w:val="24"/>
          <w:lang w:val="en-GB"/>
        </w:rPr>
      </w:pPr>
      <w:r w:rsidRPr="000800E3">
        <w:rPr>
          <w:rFonts w:ascii="Gill Sans MT" w:eastAsia="Times New Roman" w:hAnsi="Gill Sans MT" w:cs="Times New Roman"/>
          <w:sz w:val="24"/>
          <w:lang w:val="en-GB"/>
        </w:rPr>
        <w:t xml:space="preserve">Note on </w:t>
      </w:r>
      <w:proofErr w:type="spellStart"/>
      <w:r w:rsidRPr="000800E3">
        <w:rPr>
          <w:rFonts w:ascii="Gill Sans MT" w:eastAsia="Times New Roman" w:hAnsi="Gill Sans MT" w:cs="Times New Roman"/>
          <w:sz w:val="24"/>
          <w:lang w:val="en-GB"/>
        </w:rPr>
        <w:t>Pediatric</w:t>
      </w:r>
      <w:proofErr w:type="spellEnd"/>
      <w:r w:rsidRPr="000800E3">
        <w:rPr>
          <w:rFonts w:ascii="Gill Sans MT" w:eastAsia="Times New Roman" w:hAnsi="Gill Sans MT" w:cs="Times New Roman"/>
          <w:sz w:val="24"/>
          <w:lang w:val="en-GB"/>
        </w:rPr>
        <w:t xml:space="preserve"> Products in PQT Medicines (23 January 2024) (</w:t>
      </w:r>
      <w:hyperlink r:id="rId17" w:history="1">
        <w:r w:rsidRPr="000800E3">
          <w:rPr>
            <w:rStyle w:val="Hyperlink"/>
            <w:rFonts w:ascii="Gill Sans MT" w:eastAsia="Times New Roman" w:hAnsi="Gill Sans MT" w:cs="Times New Roman"/>
            <w:sz w:val="24"/>
            <w:lang w:val="en-GB"/>
          </w:rPr>
          <w:t>https://extranet.who.int/prequal/sites/default/files/document_files/146%20PaediatricProductsNote_Jan2024.pdf</w:t>
        </w:r>
      </w:hyperlink>
      <w:r w:rsidRPr="000800E3">
        <w:rPr>
          <w:rFonts w:ascii="Gill Sans MT" w:eastAsia="Times New Roman" w:hAnsi="Gill Sans MT" w:cs="Times New Roman"/>
          <w:sz w:val="24"/>
          <w:lang w:val="en-GB"/>
        </w:rPr>
        <w:t>)</w:t>
      </w:r>
      <w:r w:rsidR="00AF4D2F" w:rsidRPr="000800E3">
        <w:rPr>
          <w:rFonts w:ascii="Gill Sans MT" w:eastAsia="Times New Roman" w:hAnsi="Gill Sans MT" w:cs="Times New Roman"/>
          <w:sz w:val="24"/>
          <w:lang w:val="en-GB"/>
        </w:rPr>
        <w:t>.</w:t>
      </w:r>
    </w:p>
    <w:p w14:paraId="317F6E07" w14:textId="77777777" w:rsidR="00EA1548" w:rsidRDefault="00EA1548" w:rsidP="00EA1548">
      <w:pPr>
        <w:spacing w:after="160" w:line="276" w:lineRule="auto"/>
        <w:ind w:left="12" w:firstLine="0"/>
        <w:jc w:val="both"/>
        <w:rPr>
          <w:rFonts w:ascii="Gill Sans MT" w:hAnsi="Gill Sans MT" w:cs="Times New Roman"/>
          <w:b/>
          <w:bCs/>
          <w:i/>
          <w:iCs/>
          <w:sz w:val="24"/>
          <w:lang w:val="en-GB"/>
        </w:rPr>
      </w:pPr>
    </w:p>
    <w:p w14:paraId="04BC27FD" w14:textId="7A01C8C0" w:rsidR="00C41DCA" w:rsidRPr="000800E3" w:rsidRDefault="00C41DCA" w:rsidP="000800E3">
      <w:pPr>
        <w:spacing w:after="160" w:line="276" w:lineRule="auto"/>
        <w:ind w:left="12" w:firstLine="0"/>
        <w:jc w:val="both"/>
        <w:rPr>
          <w:rFonts w:ascii="Gill Sans MT" w:hAnsi="Gill Sans MT" w:cs="Times New Roman"/>
          <w:b/>
          <w:bCs/>
          <w:i/>
          <w:iCs/>
          <w:sz w:val="24"/>
          <w:lang w:val="en-GB"/>
        </w:rPr>
      </w:pPr>
      <w:r w:rsidRPr="000800E3">
        <w:rPr>
          <w:rFonts w:ascii="Gill Sans MT" w:hAnsi="Gill Sans MT" w:cs="Times New Roman"/>
          <w:b/>
          <w:bCs/>
          <w:i/>
          <w:iCs/>
          <w:sz w:val="24"/>
          <w:lang w:val="en-GB"/>
        </w:rPr>
        <w:t xml:space="preserve">Documentation </w:t>
      </w:r>
    </w:p>
    <w:p w14:paraId="4156BB20" w14:textId="1340D0D6" w:rsidR="00C41DCA" w:rsidRPr="000800E3" w:rsidRDefault="00C41DCA" w:rsidP="000800E3">
      <w:pPr>
        <w:spacing w:after="160" w:line="276" w:lineRule="auto"/>
        <w:jc w:val="both"/>
        <w:rPr>
          <w:rFonts w:ascii="Gill Sans MT" w:hAnsi="Gill Sans MT" w:cs="Times New Roman"/>
          <w:sz w:val="24"/>
          <w:lang w:val="en-GB"/>
        </w:rPr>
      </w:pPr>
      <w:r w:rsidRPr="000800E3">
        <w:rPr>
          <w:rFonts w:ascii="Gill Sans MT" w:hAnsi="Gill Sans MT" w:cs="Times New Roman"/>
          <w:sz w:val="24"/>
          <w:lang w:val="en-GB"/>
        </w:rPr>
        <w:t xml:space="preserve">The </w:t>
      </w:r>
      <w:r w:rsidR="006925B9" w:rsidRPr="000800E3">
        <w:rPr>
          <w:rFonts w:ascii="Gill Sans MT" w:hAnsi="Gill Sans MT" w:cs="Times New Roman"/>
          <w:sz w:val="24"/>
          <w:lang w:val="en-GB"/>
        </w:rPr>
        <w:t xml:space="preserve">SADC </w:t>
      </w:r>
      <w:r w:rsidR="00806455" w:rsidRPr="000800E3">
        <w:rPr>
          <w:rFonts w:ascii="Gill Sans MT" w:hAnsi="Gill Sans MT" w:cs="Times New Roman"/>
          <w:sz w:val="24"/>
          <w:lang w:val="en-GB"/>
        </w:rPr>
        <w:t>Bioequivalence Trial Information F</w:t>
      </w:r>
      <w:r w:rsidRPr="000800E3">
        <w:rPr>
          <w:rFonts w:ascii="Gill Sans MT" w:hAnsi="Gill Sans MT" w:cs="Times New Roman"/>
          <w:sz w:val="24"/>
          <w:lang w:val="en-GB"/>
        </w:rPr>
        <w:t xml:space="preserve">orm </w:t>
      </w:r>
      <w:r w:rsidRPr="000800E3">
        <w:rPr>
          <w:rFonts w:ascii="Gill Sans MT" w:hAnsi="Gill Sans MT" w:cs="Times New Roman"/>
          <w:sz w:val="24"/>
          <w:highlight w:val="green"/>
          <w:lang w:val="en-GB"/>
        </w:rPr>
        <w:t>(</w:t>
      </w:r>
      <w:r w:rsidR="006925B9" w:rsidRPr="000800E3">
        <w:rPr>
          <w:rFonts w:ascii="Gill Sans MT" w:hAnsi="Gill Sans MT" w:cs="Times New Roman"/>
          <w:sz w:val="24"/>
          <w:highlight w:val="green"/>
          <w:lang w:val="en-GB"/>
        </w:rPr>
        <w:t>link</w:t>
      </w:r>
      <w:r w:rsidRPr="000800E3">
        <w:rPr>
          <w:rFonts w:ascii="Gill Sans MT" w:hAnsi="Gill Sans MT" w:cs="Times New Roman"/>
          <w:sz w:val="24"/>
          <w:highlight w:val="green"/>
          <w:lang w:val="en-GB"/>
        </w:rPr>
        <w:t>)</w:t>
      </w:r>
      <w:r w:rsidRPr="000800E3">
        <w:rPr>
          <w:rFonts w:ascii="Gill Sans MT" w:hAnsi="Gill Sans MT" w:cs="Times New Roman"/>
          <w:sz w:val="24"/>
          <w:lang w:val="en-GB"/>
        </w:rPr>
        <w:t xml:space="preserve"> must be completed and submitted in MS Word format as part of the dossier submission. The instructions for completion of the form are provided </w:t>
      </w:r>
      <w:r w:rsidR="00424E6F" w:rsidRPr="000800E3">
        <w:rPr>
          <w:rFonts w:ascii="Gill Sans MT" w:hAnsi="Gill Sans MT" w:cs="Times New Roman"/>
          <w:sz w:val="24"/>
          <w:lang w:val="en-GB"/>
        </w:rPr>
        <w:t>under the subheadings</w:t>
      </w:r>
      <w:r w:rsidRPr="000800E3">
        <w:rPr>
          <w:rFonts w:ascii="Gill Sans MT" w:hAnsi="Gill Sans MT" w:cs="Times New Roman"/>
          <w:sz w:val="24"/>
          <w:lang w:val="en-GB"/>
        </w:rPr>
        <w:t xml:space="preserve"> of the form. All supporting documentation including </w:t>
      </w:r>
      <w:r w:rsidR="00D6554C" w:rsidRPr="000800E3">
        <w:rPr>
          <w:rFonts w:ascii="Gill Sans MT" w:hAnsi="Gill Sans MT" w:cs="Times New Roman"/>
          <w:sz w:val="24"/>
          <w:lang w:val="en-GB"/>
        </w:rPr>
        <w:t xml:space="preserve">SADC BTIF </w:t>
      </w:r>
      <w:r w:rsidR="00424E6F" w:rsidRPr="000800E3">
        <w:rPr>
          <w:rFonts w:ascii="Gill Sans MT" w:hAnsi="Gill Sans MT" w:cs="Times New Roman"/>
          <w:sz w:val="24"/>
          <w:lang w:val="en-GB"/>
        </w:rPr>
        <w:t>Appendi</w:t>
      </w:r>
      <w:r w:rsidR="00AD25BC" w:rsidRPr="000800E3">
        <w:rPr>
          <w:rFonts w:ascii="Gill Sans MT" w:hAnsi="Gill Sans MT" w:cs="Times New Roman"/>
          <w:sz w:val="24"/>
          <w:lang w:val="en-GB"/>
        </w:rPr>
        <w:t>x 1</w:t>
      </w:r>
      <w:r w:rsidR="00D6554C" w:rsidRPr="000800E3">
        <w:rPr>
          <w:rFonts w:ascii="Gill Sans MT" w:hAnsi="Gill Sans MT" w:cs="Times New Roman"/>
          <w:sz w:val="24"/>
          <w:lang w:val="en-GB"/>
        </w:rPr>
        <w:t xml:space="preserve"> (Template for Study Individual Concentrations and PK Data)</w:t>
      </w:r>
      <w:r w:rsidR="00E003A4" w:rsidRPr="000800E3">
        <w:rPr>
          <w:rFonts w:ascii="Gill Sans MT" w:hAnsi="Gill Sans MT" w:cs="Times New Roman"/>
          <w:sz w:val="24"/>
          <w:lang w:val="en-GB"/>
        </w:rPr>
        <w:t xml:space="preserve"> (</w:t>
      </w:r>
      <w:r w:rsidR="00E003A4" w:rsidRPr="000800E3">
        <w:rPr>
          <w:rFonts w:ascii="Gill Sans MT" w:hAnsi="Gill Sans MT" w:cs="Times New Roman"/>
          <w:sz w:val="24"/>
          <w:highlight w:val="green"/>
          <w:lang w:val="en-GB"/>
        </w:rPr>
        <w:t>link</w:t>
      </w:r>
      <w:r w:rsidR="00E003A4" w:rsidRPr="000800E3">
        <w:rPr>
          <w:rFonts w:ascii="Gill Sans MT" w:hAnsi="Gill Sans MT" w:cs="Times New Roman"/>
          <w:sz w:val="24"/>
          <w:lang w:val="en-GB"/>
        </w:rPr>
        <w:t>)</w:t>
      </w:r>
      <w:r w:rsidR="00A3021D" w:rsidRPr="000800E3">
        <w:rPr>
          <w:rFonts w:ascii="Gill Sans MT" w:hAnsi="Gill Sans MT" w:cs="Times New Roman"/>
          <w:sz w:val="24"/>
          <w:lang w:val="en-GB"/>
        </w:rPr>
        <w:t>,</w:t>
      </w:r>
      <w:r w:rsidRPr="000800E3">
        <w:rPr>
          <w:rFonts w:ascii="Gill Sans MT" w:hAnsi="Gill Sans MT" w:cs="Times New Roman"/>
          <w:sz w:val="24"/>
          <w:lang w:val="en-GB"/>
        </w:rPr>
        <w:t xml:space="preserve"> should be provided as annexes to </w:t>
      </w:r>
      <w:r w:rsidR="006F5764" w:rsidRPr="000800E3">
        <w:rPr>
          <w:rFonts w:ascii="Gill Sans MT" w:hAnsi="Gill Sans MT" w:cs="Times New Roman"/>
          <w:sz w:val="24"/>
          <w:lang w:val="en-GB"/>
        </w:rPr>
        <w:t xml:space="preserve">the </w:t>
      </w:r>
      <w:r w:rsidR="00031899" w:rsidRPr="000800E3">
        <w:rPr>
          <w:rFonts w:ascii="Gill Sans MT" w:hAnsi="Gill Sans MT" w:cs="Times New Roman"/>
          <w:sz w:val="24"/>
          <w:lang w:val="en-GB"/>
        </w:rPr>
        <w:t>SADC</w:t>
      </w:r>
      <w:r w:rsidR="00A3021D" w:rsidRPr="000800E3">
        <w:rPr>
          <w:rFonts w:ascii="Gill Sans MT" w:hAnsi="Gill Sans MT" w:cs="Times New Roman"/>
          <w:sz w:val="24"/>
          <w:lang w:val="en-GB"/>
        </w:rPr>
        <w:t xml:space="preserve"> BTIF</w:t>
      </w:r>
      <w:r w:rsidRPr="000800E3">
        <w:rPr>
          <w:rFonts w:ascii="Gill Sans MT" w:hAnsi="Gill Sans MT" w:cs="Times New Roman"/>
          <w:sz w:val="24"/>
          <w:lang w:val="en-GB"/>
        </w:rPr>
        <w:t>.</w:t>
      </w:r>
    </w:p>
    <w:p w14:paraId="1D956C8E" w14:textId="399C52F7" w:rsidR="0006253D" w:rsidRPr="000800E3" w:rsidRDefault="0006253D" w:rsidP="000800E3">
      <w:pPr>
        <w:spacing w:after="160" w:line="276" w:lineRule="auto"/>
        <w:jc w:val="both"/>
        <w:rPr>
          <w:rFonts w:ascii="Gill Sans MT" w:hAnsi="Gill Sans MT" w:cs="Times New Roman"/>
          <w:sz w:val="24"/>
          <w:lang w:val="en-GB"/>
        </w:rPr>
      </w:pPr>
      <w:r w:rsidRPr="000800E3">
        <w:rPr>
          <w:rFonts w:ascii="Gill Sans MT" w:hAnsi="Gill Sans MT" w:cs="Times New Roman"/>
          <w:sz w:val="24"/>
          <w:lang w:val="en-GB"/>
        </w:rPr>
        <w:t xml:space="preserve">The SADC Additional Strength Biowaiver Form </w:t>
      </w:r>
      <w:r w:rsidRPr="000800E3">
        <w:rPr>
          <w:rFonts w:ascii="Gill Sans MT" w:hAnsi="Gill Sans MT" w:cs="Times New Roman"/>
          <w:sz w:val="24"/>
          <w:highlight w:val="green"/>
          <w:lang w:val="en-GB"/>
        </w:rPr>
        <w:t>(link)</w:t>
      </w:r>
      <w:r w:rsidRPr="000800E3">
        <w:rPr>
          <w:rFonts w:ascii="Gill Sans MT" w:hAnsi="Gill Sans MT" w:cs="Times New Roman"/>
          <w:sz w:val="24"/>
          <w:lang w:val="en-GB"/>
        </w:rPr>
        <w:t xml:space="preserve"> must be completed and submitted in MS Word format as part of the dossier submission. The instructions for completion of the form are provided under the subheadings of the form.</w:t>
      </w:r>
    </w:p>
    <w:p w14:paraId="0ED93250" w14:textId="77777777" w:rsidR="005E76FF" w:rsidRPr="000800E3" w:rsidRDefault="005E76FF" w:rsidP="000800E3">
      <w:pPr>
        <w:spacing w:after="160" w:line="276" w:lineRule="auto"/>
        <w:ind w:left="0" w:firstLine="0"/>
        <w:jc w:val="both"/>
        <w:rPr>
          <w:rFonts w:ascii="Gill Sans MT" w:eastAsia="Times New Roman" w:hAnsi="Gill Sans MT" w:cs="Times New Roman"/>
          <w:color w:val="auto"/>
          <w:sz w:val="24"/>
          <w:lang w:val="en-GB"/>
        </w:rPr>
      </w:pPr>
    </w:p>
    <w:p w14:paraId="29118125" w14:textId="7B7E82AD" w:rsidR="1C716182" w:rsidRPr="000800E3" w:rsidRDefault="24F936F4" w:rsidP="000800E3">
      <w:pPr>
        <w:spacing w:after="160" w:line="276" w:lineRule="auto"/>
        <w:ind w:left="0" w:firstLine="0"/>
        <w:jc w:val="both"/>
        <w:rPr>
          <w:rFonts w:ascii="Gill Sans MT" w:eastAsia="Times New Roman" w:hAnsi="Gill Sans MT" w:cs="Times New Roman"/>
          <w:b/>
          <w:color w:val="auto"/>
          <w:sz w:val="24"/>
          <w:lang w:val="en-GB"/>
        </w:rPr>
      </w:pPr>
      <w:r w:rsidRPr="000800E3">
        <w:rPr>
          <w:rFonts w:ascii="Gill Sans MT" w:eastAsia="Times New Roman" w:hAnsi="Gill Sans MT" w:cs="Times New Roman"/>
          <w:b/>
          <w:color w:val="auto"/>
          <w:sz w:val="24"/>
          <w:lang w:val="en-GB"/>
        </w:rPr>
        <w:t xml:space="preserve">Disclaimer: </w:t>
      </w:r>
    </w:p>
    <w:p w14:paraId="286D827C" w14:textId="507F516B" w:rsidR="1C716182" w:rsidRPr="000800E3" w:rsidRDefault="24F936F4" w:rsidP="000800E3">
      <w:pPr>
        <w:spacing w:after="160" w:line="276" w:lineRule="auto"/>
        <w:ind w:left="0" w:firstLine="0"/>
        <w:jc w:val="both"/>
        <w:rPr>
          <w:rFonts w:ascii="Gill Sans MT" w:eastAsia="Times New Roman" w:hAnsi="Gill Sans MT" w:cs="Times New Roman"/>
          <w:color w:val="auto"/>
          <w:sz w:val="24"/>
          <w:lang w:val="en-GB"/>
        </w:rPr>
      </w:pPr>
      <w:r w:rsidRPr="000800E3">
        <w:rPr>
          <w:rFonts w:ascii="Gill Sans MT" w:eastAsia="Times New Roman" w:hAnsi="Gill Sans MT" w:cs="Times New Roman"/>
          <w:color w:val="auto"/>
          <w:sz w:val="24"/>
          <w:lang w:val="en-GB"/>
        </w:rPr>
        <w:t xml:space="preserve">All guidelines adopted/adapted by SADC from international organizations such as WHO, the International Council for Harmonisation of Technical Requirements for Pharmaceuticals for Human Use (ICH) must be read in conjunction with the current, applicable SADC guidelines. </w:t>
      </w:r>
    </w:p>
    <w:p w14:paraId="67BEB37A" w14:textId="5F5727F3" w:rsidR="00000000" w:rsidRPr="000800E3" w:rsidRDefault="24F936F4" w:rsidP="000800E3">
      <w:pPr>
        <w:spacing w:after="160" w:line="276" w:lineRule="auto"/>
        <w:ind w:left="0" w:firstLine="0"/>
        <w:jc w:val="both"/>
        <w:rPr>
          <w:rFonts w:ascii="Gill Sans MT" w:hAnsi="Gill Sans MT"/>
          <w:color w:val="auto"/>
          <w:sz w:val="24"/>
          <w:lang w:val="en-GB"/>
        </w:rPr>
        <w:sectPr w:rsidR="00000000" w:rsidRPr="000800E3" w:rsidSect="000800E3">
          <w:footerReference w:type="even" r:id="rId18"/>
          <w:footerReference w:type="default" r:id="rId19"/>
          <w:footerReference w:type="first" r:id="rId20"/>
          <w:pgSz w:w="11906" w:h="16838"/>
          <w:pgMar w:top="1440" w:right="1440" w:bottom="1440" w:left="1440" w:header="720" w:footer="720" w:gutter="0"/>
          <w:lnNumType w:countBy="1" w:restart="continuous"/>
          <w:cols w:space="720"/>
          <w:titlePg/>
          <w:docGrid w:linePitch="245"/>
        </w:sectPr>
      </w:pPr>
      <w:r w:rsidRPr="000800E3">
        <w:rPr>
          <w:rFonts w:ascii="Gill Sans MT" w:eastAsia="Times New Roman" w:hAnsi="Gill Sans MT" w:cs="Times New Roman"/>
          <w:color w:val="auto"/>
          <w:sz w:val="24"/>
          <w:highlight w:val="yellow"/>
          <w:lang w:val="en-GB"/>
        </w:rPr>
        <w:t xml:space="preserve">SADC-Medicines Regulatory </w:t>
      </w:r>
      <w:r w:rsidR="00F6506C" w:rsidRPr="000800E3">
        <w:rPr>
          <w:rFonts w:ascii="Gill Sans MT" w:eastAsia="Times New Roman" w:hAnsi="Gill Sans MT" w:cs="Times New Roman"/>
          <w:color w:val="auto"/>
          <w:sz w:val="24"/>
          <w:highlight w:val="yellow"/>
          <w:lang w:val="en-GB"/>
        </w:rPr>
        <w:t>Harmonisation</w:t>
      </w:r>
      <w:r w:rsidR="00F6506C" w:rsidRPr="000800E3">
        <w:rPr>
          <w:rFonts w:ascii="Gill Sans MT" w:eastAsia="Times New Roman" w:hAnsi="Gill Sans MT" w:cs="Times New Roman"/>
          <w:color w:val="auto"/>
          <w:sz w:val="24"/>
          <w:lang w:val="en-GB"/>
        </w:rPr>
        <w:t xml:space="preserve"> </w:t>
      </w:r>
      <w:r w:rsidRPr="000800E3">
        <w:rPr>
          <w:rFonts w:ascii="Gill Sans MT" w:eastAsia="Times New Roman" w:hAnsi="Gill Sans MT" w:cs="Times New Roman"/>
          <w:color w:val="auto"/>
          <w:sz w:val="24"/>
          <w:lang w:val="en-GB"/>
        </w:rPr>
        <w:t>(Zazibona)/SADC NRAs reserves the right to request additional information in keeping with the knowledge current at the time of evaluation.  It is not intended as an exclusive approach as alternative approaches may be used but should be scientifically and technically justified</w:t>
      </w:r>
    </w:p>
    <w:p w14:paraId="5077801A" w14:textId="0C36BF2A" w:rsidR="008B12DF" w:rsidRPr="000800E3" w:rsidRDefault="008B12DF" w:rsidP="000800E3">
      <w:pPr>
        <w:spacing w:after="216" w:line="276" w:lineRule="auto"/>
        <w:ind w:left="0" w:firstLine="0"/>
        <w:rPr>
          <w:rFonts w:ascii="Gill Sans MT" w:hAnsi="Gill Sans MT"/>
          <w:sz w:val="24"/>
          <w:lang w:val="en-GB"/>
        </w:rPr>
      </w:pPr>
    </w:p>
    <w:sectPr w:rsidR="008B12DF" w:rsidRPr="000800E3" w:rsidSect="000800E3">
      <w:footerReference w:type="even" r:id="rId21"/>
      <w:footerReference w:type="default" r:id="rId22"/>
      <w:footerReference w:type="first" r:id="rId23"/>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0E68" w14:textId="77777777" w:rsidR="003A42E1" w:rsidRDefault="003A42E1">
      <w:pPr>
        <w:spacing w:after="0" w:line="240" w:lineRule="auto"/>
      </w:pPr>
      <w:r>
        <w:separator/>
      </w:r>
    </w:p>
  </w:endnote>
  <w:endnote w:type="continuationSeparator" w:id="0">
    <w:p w14:paraId="311F7C2F" w14:textId="77777777" w:rsidR="003A42E1" w:rsidRDefault="003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7216"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57CB69" id="Group 23997" o:spid="_x0000_s1026" style="position:absolute;margin-left:62.35pt;margin-top:771.8pt;width:470.6pt;height:.25pt;z-index:251657216;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FDFA" w14:textId="5FDAEEBB" w:rsidR="008B12DF" w:rsidRDefault="00070A85">
    <w:pPr>
      <w:tabs>
        <w:tab w:val="right" w:pos="9418"/>
      </w:tabs>
      <w:spacing w:after="0" w:line="259" w:lineRule="auto"/>
      <w:ind w:left="0" w:right="-8"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FA963E5" id="Group 23968" o:spid="_x0000_s1026" style="position:absolute;margin-left:62.35pt;margin-top:771.8pt;width:470.6pt;height:.25pt;z-index:251660288;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bookmarkStart w:id="2" w:name="_Hlk215587438"/>
    <w:r w:rsidR="00FE35D9" w:rsidRPr="00FE35D9">
      <w:rPr>
        <w:color w:val="6D6F71"/>
        <w:sz w:val="14"/>
      </w:rPr>
      <w:t>SADC Guideline on General Requirements for Bioequivalence</w:t>
    </w:r>
    <w:bookmarkEnd w:id="2"/>
    <w:r>
      <w:rPr>
        <w:color w:val="6D6F71"/>
        <w:sz w:val="14"/>
      </w:rPr>
      <w:tab/>
    </w:r>
    <w:r w:rsidR="4DAD952A"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9C4C1C" id="Group 24085" o:spid="_x0000_s1026" style="position:absolute;margin-left:62.35pt;margin-top:771.8pt;width:470.6pt;height:.25pt;z-index:251658242;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A3E2375" id="Group 24056" o:spid="_x0000_s1026" style="position:absolute;margin-left:62.35pt;margin-top:771.8pt;width:470.6pt;height:.25pt;z-index:251658243;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F8B032A" id="Group 24027" o:spid="_x0000_s1026" style="position:absolute;margin-left:62.35pt;margin-top:771.8pt;width:470.6pt;height:.25pt;z-index:251658244;mso-position-horizontal-relative:page;mso-position-vertical-relative:page" coordsize="597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o:spid="_x0000_s1027" style="position:absolute;width:59763;height:91;visibility:visible;mso-wrap-style:square;v-text-anchor:top" coordsize="5976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path="m,l5976354,r,9144l,9144,,e" fillcolor="black" stroked="f" strokeweight="0">
                <v:stroke miterlimit="83231f" joinstyle="miter"/>
                <v:path arrowok="t" textboxrect="0,0,5976354,9144"/>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5893C" w14:textId="77777777" w:rsidR="003A42E1" w:rsidRDefault="003A42E1">
      <w:pPr>
        <w:spacing w:after="0" w:line="240" w:lineRule="auto"/>
      </w:pPr>
      <w:r>
        <w:separator/>
      </w:r>
    </w:p>
  </w:footnote>
  <w:footnote w:type="continuationSeparator" w:id="0">
    <w:p w14:paraId="57456CA0" w14:textId="77777777" w:rsidR="003A42E1" w:rsidRDefault="003A4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4D9D"/>
    <w:multiLevelType w:val="hybridMultilevel"/>
    <w:tmpl w:val="3D5EC768"/>
    <w:lvl w:ilvl="0" w:tplc="E5688C8C">
      <w:start w:val="1"/>
      <w:numFmt w:val="decimal"/>
      <w:lvlText w:val="%1."/>
      <w:lvlJc w:val="left"/>
      <w:pPr>
        <w:ind w:left="372" w:hanging="360"/>
      </w:pPr>
      <w:rPr>
        <w:rFonts w:hint="default"/>
      </w:rPr>
    </w:lvl>
    <w:lvl w:ilvl="1" w:tplc="20000019" w:tentative="1">
      <w:start w:val="1"/>
      <w:numFmt w:val="lowerLetter"/>
      <w:lvlText w:val="%2."/>
      <w:lvlJc w:val="left"/>
      <w:pPr>
        <w:ind w:left="1092" w:hanging="360"/>
      </w:pPr>
    </w:lvl>
    <w:lvl w:ilvl="2" w:tplc="2000001B" w:tentative="1">
      <w:start w:val="1"/>
      <w:numFmt w:val="lowerRoman"/>
      <w:lvlText w:val="%3."/>
      <w:lvlJc w:val="right"/>
      <w:pPr>
        <w:ind w:left="1812" w:hanging="180"/>
      </w:pPr>
    </w:lvl>
    <w:lvl w:ilvl="3" w:tplc="2000000F" w:tentative="1">
      <w:start w:val="1"/>
      <w:numFmt w:val="decimal"/>
      <w:lvlText w:val="%4."/>
      <w:lvlJc w:val="left"/>
      <w:pPr>
        <w:ind w:left="2532" w:hanging="360"/>
      </w:pPr>
    </w:lvl>
    <w:lvl w:ilvl="4" w:tplc="20000019" w:tentative="1">
      <w:start w:val="1"/>
      <w:numFmt w:val="lowerLetter"/>
      <w:lvlText w:val="%5."/>
      <w:lvlJc w:val="left"/>
      <w:pPr>
        <w:ind w:left="3252" w:hanging="360"/>
      </w:pPr>
    </w:lvl>
    <w:lvl w:ilvl="5" w:tplc="2000001B" w:tentative="1">
      <w:start w:val="1"/>
      <w:numFmt w:val="lowerRoman"/>
      <w:lvlText w:val="%6."/>
      <w:lvlJc w:val="right"/>
      <w:pPr>
        <w:ind w:left="3972" w:hanging="180"/>
      </w:pPr>
    </w:lvl>
    <w:lvl w:ilvl="6" w:tplc="2000000F" w:tentative="1">
      <w:start w:val="1"/>
      <w:numFmt w:val="decimal"/>
      <w:lvlText w:val="%7."/>
      <w:lvlJc w:val="left"/>
      <w:pPr>
        <w:ind w:left="4692" w:hanging="360"/>
      </w:pPr>
    </w:lvl>
    <w:lvl w:ilvl="7" w:tplc="20000019" w:tentative="1">
      <w:start w:val="1"/>
      <w:numFmt w:val="lowerLetter"/>
      <w:lvlText w:val="%8."/>
      <w:lvlJc w:val="left"/>
      <w:pPr>
        <w:ind w:left="5412" w:hanging="360"/>
      </w:pPr>
    </w:lvl>
    <w:lvl w:ilvl="8" w:tplc="2000001B" w:tentative="1">
      <w:start w:val="1"/>
      <w:numFmt w:val="lowerRoman"/>
      <w:lvlText w:val="%9."/>
      <w:lvlJc w:val="right"/>
      <w:pPr>
        <w:ind w:left="6132" w:hanging="180"/>
      </w:pPr>
    </w:lvl>
  </w:abstractNum>
  <w:abstractNum w:abstractNumId="1" w15:restartNumberingAfterBreak="0">
    <w:nsid w:val="21E0551B"/>
    <w:multiLevelType w:val="hybridMultilevel"/>
    <w:tmpl w:val="B9D25374"/>
    <w:lvl w:ilvl="0" w:tplc="20000001">
      <w:start w:val="1"/>
      <w:numFmt w:val="bullet"/>
      <w:lvlText w:val=""/>
      <w:lvlJc w:val="left"/>
      <w:pPr>
        <w:ind w:left="372" w:hanging="360"/>
      </w:pPr>
      <w:rPr>
        <w:rFonts w:ascii="Symbol" w:hAnsi="Symbol" w:hint="default"/>
      </w:rPr>
    </w:lvl>
    <w:lvl w:ilvl="1" w:tplc="20000003" w:tentative="1">
      <w:start w:val="1"/>
      <w:numFmt w:val="bullet"/>
      <w:lvlText w:val="o"/>
      <w:lvlJc w:val="left"/>
      <w:pPr>
        <w:ind w:left="1092" w:hanging="360"/>
      </w:pPr>
      <w:rPr>
        <w:rFonts w:ascii="Courier New" w:hAnsi="Courier New" w:cs="Courier New" w:hint="default"/>
      </w:rPr>
    </w:lvl>
    <w:lvl w:ilvl="2" w:tplc="20000005" w:tentative="1">
      <w:start w:val="1"/>
      <w:numFmt w:val="bullet"/>
      <w:lvlText w:val=""/>
      <w:lvlJc w:val="left"/>
      <w:pPr>
        <w:ind w:left="1812" w:hanging="360"/>
      </w:pPr>
      <w:rPr>
        <w:rFonts w:ascii="Wingdings" w:hAnsi="Wingdings" w:hint="default"/>
      </w:rPr>
    </w:lvl>
    <w:lvl w:ilvl="3" w:tplc="20000001" w:tentative="1">
      <w:start w:val="1"/>
      <w:numFmt w:val="bullet"/>
      <w:lvlText w:val=""/>
      <w:lvlJc w:val="left"/>
      <w:pPr>
        <w:ind w:left="2532" w:hanging="360"/>
      </w:pPr>
      <w:rPr>
        <w:rFonts w:ascii="Symbol" w:hAnsi="Symbol" w:hint="default"/>
      </w:rPr>
    </w:lvl>
    <w:lvl w:ilvl="4" w:tplc="20000003" w:tentative="1">
      <w:start w:val="1"/>
      <w:numFmt w:val="bullet"/>
      <w:lvlText w:val="o"/>
      <w:lvlJc w:val="left"/>
      <w:pPr>
        <w:ind w:left="3252" w:hanging="360"/>
      </w:pPr>
      <w:rPr>
        <w:rFonts w:ascii="Courier New" w:hAnsi="Courier New" w:cs="Courier New" w:hint="default"/>
      </w:rPr>
    </w:lvl>
    <w:lvl w:ilvl="5" w:tplc="20000005" w:tentative="1">
      <w:start w:val="1"/>
      <w:numFmt w:val="bullet"/>
      <w:lvlText w:val=""/>
      <w:lvlJc w:val="left"/>
      <w:pPr>
        <w:ind w:left="3972" w:hanging="360"/>
      </w:pPr>
      <w:rPr>
        <w:rFonts w:ascii="Wingdings" w:hAnsi="Wingdings" w:hint="default"/>
      </w:rPr>
    </w:lvl>
    <w:lvl w:ilvl="6" w:tplc="20000001" w:tentative="1">
      <w:start w:val="1"/>
      <w:numFmt w:val="bullet"/>
      <w:lvlText w:val=""/>
      <w:lvlJc w:val="left"/>
      <w:pPr>
        <w:ind w:left="4692" w:hanging="360"/>
      </w:pPr>
      <w:rPr>
        <w:rFonts w:ascii="Symbol" w:hAnsi="Symbol" w:hint="default"/>
      </w:rPr>
    </w:lvl>
    <w:lvl w:ilvl="7" w:tplc="20000003" w:tentative="1">
      <w:start w:val="1"/>
      <w:numFmt w:val="bullet"/>
      <w:lvlText w:val="o"/>
      <w:lvlJc w:val="left"/>
      <w:pPr>
        <w:ind w:left="5412" w:hanging="360"/>
      </w:pPr>
      <w:rPr>
        <w:rFonts w:ascii="Courier New" w:hAnsi="Courier New" w:cs="Courier New" w:hint="default"/>
      </w:rPr>
    </w:lvl>
    <w:lvl w:ilvl="8" w:tplc="20000005" w:tentative="1">
      <w:start w:val="1"/>
      <w:numFmt w:val="bullet"/>
      <w:lvlText w:val=""/>
      <w:lvlJc w:val="left"/>
      <w:pPr>
        <w:ind w:left="6132" w:hanging="360"/>
      </w:pPr>
      <w:rPr>
        <w:rFonts w:ascii="Wingdings" w:hAnsi="Wingdings" w:hint="default"/>
      </w:rPr>
    </w:lvl>
  </w:abstractNum>
  <w:abstractNum w:abstractNumId="2"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4"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5"/>
  </w:num>
  <w:num w:numId="2" w16cid:durableId="1760832875">
    <w:abstractNumId w:val="3"/>
  </w:num>
  <w:num w:numId="3" w16cid:durableId="294485103">
    <w:abstractNumId w:val="6"/>
  </w:num>
  <w:num w:numId="4" w16cid:durableId="1679042194">
    <w:abstractNumId w:val="2"/>
  </w:num>
  <w:num w:numId="5" w16cid:durableId="816341661">
    <w:abstractNumId w:val="4"/>
  </w:num>
  <w:num w:numId="6" w16cid:durableId="1921980356">
    <w:abstractNumId w:val="1"/>
  </w:num>
  <w:num w:numId="7" w16cid:durableId="172648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4C40"/>
    <w:rsid w:val="000309B1"/>
    <w:rsid w:val="00031899"/>
    <w:rsid w:val="000340C4"/>
    <w:rsid w:val="00034521"/>
    <w:rsid w:val="00036045"/>
    <w:rsid w:val="00040B2A"/>
    <w:rsid w:val="00044009"/>
    <w:rsid w:val="00045955"/>
    <w:rsid w:val="00050A20"/>
    <w:rsid w:val="000511D8"/>
    <w:rsid w:val="00051B76"/>
    <w:rsid w:val="00056D7C"/>
    <w:rsid w:val="00061165"/>
    <w:rsid w:val="0006253D"/>
    <w:rsid w:val="00066A25"/>
    <w:rsid w:val="00070635"/>
    <w:rsid w:val="00070A85"/>
    <w:rsid w:val="0007552A"/>
    <w:rsid w:val="00076559"/>
    <w:rsid w:val="00077B3F"/>
    <w:rsid w:val="000800E3"/>
    <w:rsid w:val="00080890"/>
    <w:rsid w:val="00082ACE"/>
    <w:rsid w:val="00082DC5"/>
    <w:rsid w:val="00086149"/>
    <w:rsid w:val="000862E8"/>
    <w:rsid w:val="000866BD"/>
    <w:rsid w:val="00097DD2"/>
    <w:rsid w:val="000A2735"/>
    <w:rsid w:val="000A63DA"/>
    <w:rsid w:val="000B3C06"/>
    <w:rsid w:val="000C0144"/>
    <w:rsid w:val="000C05DC"/>
    <w:rsid w:val="000C174B"/>
    <w:rsid w:val="000C1ABE"/>
    <w:rsid w:val="000C257A"/>
    <w:rsid w:val="000C3008"/>
    <w:rsid w:val="000C5A89"/>
    <w:rsid w:val="000C638F"/>
    <w:rsid w:val="000C6ABE"/>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10B73"/>
    <w:rsid w:val="00117AC8"/>
    <w:rsid w:val="00117FB5"/>
    <w:rsid w:val="001202B6"/>
    <w:rsid w:val="00120A1E"/>
    <w:rsid w:val="00121834"/>
    <w:rsid w:val="00125132"/>
    <w:rsid w:val="00126A3E"/>
    <w:rsid w:val="00127E0E"/>
    <w:rsid w:val="00134D13"/>
    <w:rsid w:val="00135207"/>
    <w:rsid w:val="00135F11"/>
    <w:rsid w:val="00137110"/>
    <w:rsid w:val="00141F98"/>
    <w:rsid w:val="0014541A"/>
    <w:rsid w:val="0014584E"/>
    <w:rsid w:val="00146DE3"/>
    <w:rsid w:val="00151D91"/>
    <w:rsid w:val="00152D26"/>
    <w:rsid w:val="00156367"/>
    <w:rsid w:val="00156A4E"/>
    <w:rsid w:val="00160E70"/>
    <w:rsid w:val="001670BA"/>
    <w:rsid w:val="001676F5"/>
    <w:rsid w:val="00167947"/>
    <w:rsid w:val="00170567"/>
    <w:rsid w:val="001708F3"/>
    <w:rsid w:val="001728BE"/>
    <w:rsid w:val="00172C70"/>
    <w:rsid w:val="00173470"/>
    <w:rsid w:val="00173FD9"/>
    <w:rsid w:val="0017469B"/>
    <w:rsid w:val="00174EE8"/>
    <w:rsid w:val="00180EEE"/>
    <w:rsid w:val="00186D42"/>
    <w:rsid w:val="00187705"/>
    <w:rsid w:val="001929FE"/>
    <w:rsid w:val="001934BA"/>
    <w:rsid w:val="0019573C"/>
    <w:rsid w:val="001A124A"/>
    <w:rsid w:val="001A409A"/>
    <w:rsid w:val="001A5E09"/>
    <w:rsid w:val="001A7743"/>
    <w:rsid w:val="001B475E"/>
    <w:rsid w:val="001B6A1F"/>
    <w:rsid w:val="001C57C9"/>
    <w:rsid w:val="001D0416"/>
    <w:rsid w:val="001D3358"/>
    <w:rsid w:val="001D4368"/>
    <w:rsid w:val="001D6054"/>
    <w:rsid w:val="001D62C9"/>
    <w:rsid w:val="001D6D18"/>
    <w:rsid w:val="001E3668"/>
    <w:rsid w:val="001E515D"/>
    <w:rsid w:val="001F060F"/>
    <w:rsid w:val="001F6221"/>
    <w:rsid w:val="001F638D"/>
    <w:rsid w:val="001F7CCF"/>
    <w:rsid w:val="00202240"/>
    <w:rsid w:val="00202C30"/>
    <w:rsid w:val="00203375"/>
    <w:rsid w:val="0020490C"/>
    <w:rsid w:val="00206674"/>
    <w:rsid w:val="0020742C"/>
    <w:rsid w:val="002115A4"/>
    <w:rsid w:val="00211600"/>
    <w:rsid w:val="00211F0E"/>
    <w:rsid w:val="002163F7"/>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3F65"/>
    <w:rsid w:val="002C4256"/>
    <w:rsid w:val="002C55F4"/>
    <w:rsid w:val="002C5B94"/>
    <w:rsid w:val="002D71DE"/>
    <w:rsid w:val="002E459C"/>
    <w:rsid w:val="002E5865"/>
    <w:rsid w:val="002F009D"/>
    <w:rsid w:val="002F1CAA"/>
    <w:rsid w:val="002F47EB"/>
    <w:rsid w:val="002F7CA4"/>
    <w:rsid w:val="003030C2"/>
    <w:rsid w:val="00303BA8"/>
    <w:rsid w:val="00306A4F"/>
    <w:rsid w:val="00306E1E"/>
    <w:rsid w:val="00311355"/>
    <w:rsid w:val="003128B8"/>
    <w:rsid w:val="00315045"/>
    <w:rsid w:val="00315D37"/>
    <w:rsid w:val="00320356"/>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31A0"/>
    <w:rsid w:val="003541C5"/>
    <w:rsid w:val="003560CA"/>
    <w:rsid w:val="00357957"/>
    <w:rsid w:val="003643A7"/>
    <w:rsid w:val="003651FE"/>
    <w:rsid w:val="00365540"/>
    <w:rsid w:val="0036663E"/>
    <w:rsid w:val="00367352"/>
    <w:rsid w:val="0037023D"/>
    <w:rsid w:val="00372728"/>
    <w:rsid w:val="00373621"/>
    <w:rsid w:val="003747C3"/>
    <w:rsid w:val="003778CF"/>
    <w:rsid w:val="00377F42"/>
    <w:rsid w:val="003814AE"/>
    <w:rsid w:val="00384D9C"/>
    <w:rsid w:val="00386523"/>
    <w:rsid w:val="003918A0"/>
    <w:rsid w:val="00392334"/>
    <w:rsid w:val="0039616E"/>
    <w:rsid w:val="003A118A"/>
    <w:rsid w:val="003A1B90"/>
    <w:rsid w:val="003A42E1"/>
    <w:rsid w:val="003A6771"/>
    <w:rsid w:val="003A7DB5"/>
    <w:rsid w:val="003B001A"/>
    <w:rsid w:val="003B0D6F"/>
    <w:rsid w:val="003B26C2"/>
    <w:rsid w:val="003B2FD8"/>
    <w:rsid w:val="003B506E"/>
    <w:rsid w:val="003B6DE5"/>
    <w:rsid w:val="003C5A5F"/>
    <w:rsid w:val="003D04B3"/>
    <w:rsid w:val="003D1F52"/>
    <w:rsid w:val="003D25FD"/>
    <w:rsid w:val="003D58A3"/>
    <w:rsid w:val="003D58EF"/>
    <w:rsid w:val="003D6A5D"/>
    <w:rsid w:val="003D713E"/>
    <w:rsid w:val="003E6DB5"/>
    <w:rsid w:val="003F00FC"/>
    <w:rsid w:val="003F40F3"/>
    <w:rsid w:val="00401950"/>
    <w:rsid w:val="00402ECC"/>
    <w:rsid w:val="0040393F"/>
    <w:rsid w:val="00403C9E"/>
    <w:rsid w:val="004127C7"/>
    <w:rsid w:val="00412DF9"/>
    <w:rsid w:val="00412F45"/>
    <w:rsid w:val="0041689E"/>
    <w:rsid w:val="00422D94"/>
    <w:rsid w:val="00424E6F"/>
    <w:rsid w:val="00425FD3"/>
    <w:rsid w:val="00426172"/>
    <w:rsid w:val="0042752F"/>
    <w:rsid w:val="00430198"/>
    <w:rsid w:val="00433C34"/>
    <w:rsid w:val="00433DA6"/>
    <w:rsid w:val="0043634A"/>
    <w:rsid w:val="00440935"/>
    <w:rsid w:val="00441B8B"/>
    <w:rsid w:val="004438B6"/>
    <w:rsid w:val="0044475D"/>
    <w:rsid w:val="004455CD"/>
    <w:rsid w:val="00450BD4"/>
    <w:rsid w:val="0045176C"/>
    <w:rsid w:val="00452601"/>
    <w:rsid w:val="004610E6"/>
    <w:rsid w:val="004610E8"/>
    <w:rsid w:val="00461A48"/>
    <w:rsid w:val="004631B9"/>
    <w:rsid w:val="00463CED"/>
    <w:rsid w:val="0047171A"/>
    <w:rsid w:val="004721B8"/>
    <w:rsid w:val="0047280F"/>
    <w:rsid w:val="00481AEF"/>
    <w:rsid w:val="00487160"/>
    <w:rsid w:val="004918DA"/>
    <w:rsid w:val="00491F2C"/>
    <w:rsid w:val="004A199D"/>
    <w:rsid w:val="004A64FA"/>
    <w:rsid w:val="004B00EE"/>
    <w:rsid w:val="004B167C"/>
    <w:rsid w:val="004B700A"/>
    <w:rsid w:val="004C17B1"/>
    <w:rsid w:val="004C4B8C"/>
    <w:rsid w:val="004C5E7F"/>
    <w:rsid w:val="004D346D"/>
    <w:rsid w:val="004D6AE2"/>
    <w:rsid w:val="004E5096"/>
    <w:rsid w:val="004F1074"/>
    <w:rsid w:val="004F2C3E"/>
    <w:rsid w:val="004F4328"/>
    <w:rsid w:val="004F538C"/>
    <w:rsid w:val="004F5DB5"/>
    <w:rsid w:val="004F60BF"/>
    <w:rsid w:val="00500AD4"/>
    <w:rsid w:val="00504A2B"/>
    <w:rsid w:val="00511DB2"/>
    <w:rsid w:val="00514E50"/>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1AEB"/>
    <w:rsid w:val="0057254A"/>
    <w:rsid w:val="005739C1"/>
    <w:rsid w:val="005756BB"/>
    <w:rsid w:val="005818EA"/>
    <w:rsid w:val="00582674"/>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77FA"/>
    <w:rsid w:val="005D79BA"/>
    <w:rsid w:val="005E18B7"/>
    <w:rsid w:val="005E4DEB"/>
    <w:rsid w:val="005E4F85"/>
    <w:rsid w:val="005E76FF"/>
    <w:rsid w:val="005F10FE"/>
    <w:rsid w:val="006040E3"/>
    <w:rsid w:val="00610786"/>
    <w:rsid w:val="006118AB"/>
    <w:rsid w:val="006128FE"/>
    <w:rsid w:val="006150BC"/>
    <w:rsid w:val="00615460"/>
    <w:rsid w:val="006173D6"/>
    <w:rsid w:val="00620AA8"/>
    <w:rsid w:val="00620DE4"/>
    <w:rsid w:val="0062166E"/>
    <w:rsid w:val="00626622"/>
    <w:rsid w:val="006322D4"/>
    <w:rsid w:val="00635C0C"/>
    <w:rsid w:val="00644A03"/>
    <w:rsid w:val="006520FA"/>
    <w:rsid w:val="006525B3"/>
    <w:rsid w:val="00653E6D"/>
    <w:rsid w:val="00663AA2"/>
    <w:rsid w:val="00665438"/>
    <w:rsid w:val="006666C0"/>
    <w:rsid w:val="0066686B"/>
    <w:rsid w:val="00671143"/>
    <w:rsid w:val="00671266"/>
    <w:rsid w:val="00681736"/>
    <w:rsid w:val="00685A53"/>
    <w:rsid w:val="00686C5C"/>
    <w:rsid w:val="0069098F"/>
    <w:rsid w:val="00690E9B"/>
    <w:rsid w:val="006925B9"/>
    <w:rsid w:val="00694690"/>
    <w:rsid w:val="006951E9"/>
    <w:rsid w:val="006972D7"/>
    <w:rsid w:val="006979AF"/>
    <w:rsid w:val="006A27AD"/>
    <w:rsid w:val="006B19CB"/>
    <w:rsid w:val="006B1AC3"/>
    <w:rsid w:val="006B36B8"/>
    <w:rsid w:val="006B5CDE"/>
    <w:rsid w:val="006C0DE1"/>
    <w:rsid w:val="006C11FA"/>
    <w:rsid w:val="006C1C62"/>
    <w:rsid w:val="006C5063"/>
    <w:rsid w:val="006C597C"/>
    <w:rsid w:val="006C75A4"/>
    <w:rsid w:val="006D0266"/>
    <w:rsid w:val="006D043A"/>
    <w:rsid w:val="006D0552"/>
    <w:rsid w:val="006D24BE"/>
    <w:rsid w:val="006D360D"/>
    <w:rsid w:val="006D4774"/>
    <w:rsid w:val="006D555A"/>
    <w:rsid w:val="006D727F"/>
    <w:rsid w:val="006E0CE6"/>
    <w:rsid w:val="006E2333"/>
    <w:rsid w:val="006E5A98"/>
    <w:rsid w:val="006F1429"/>
    <w:rsid w:val="006F1945"/>
    <w:rsid w:val="006F46B0"/>
    <w:rsid w:val="006F528C"/>
    <w:rsid w:val="006F5764"/>
    <w:rsid w:val="006F57FD"/>
    <w:rsid w:val="006F58EC"/>
    <w:rsid w:val="007023BC"/>
    <w:rsid w:val="007048F7"/>
    <w:rsid w:val="00704D1D"/>
    <w:rsid w:val="00707864"/>
    <w:rsid w:val="00713ADB"/>
    <w:rsid w:val="00714E7F"/>
    <w:rsid w:val="00715367"/>
    <w:rsid w:val="0071550A"/>
    <w:rsid w:val="0072169B"/>
    <w:rsid w:val="007216D5"/>
    <w:rsid w:val="00722573"/>
    <w:rsid w:val="007229FA"/>
    <w:rsid w:val="0072465C"/>
    <w:rsid w:val="00730D0B"/>
    <w:rsid w:val="0073414B"/>
    <w:rsid w:val="00740D7B"/>
    <w:rsid w:val="0074308C"/>
    <w:rsid w:val="00743C72"/>
    <w:rsid w:val="00744732"/>
    <w:rsid w:val="00745CCB"/>
    <w:rsid w:val="00750902"/>
    <w:rsid w:val="00750BCB"/>
    <w:rsid w:val="007531AF"/>
    <w:rsid w:val="00753710"/>
    <w:rsid w:val="0075565C"/>
    <w:rsid w:val="00760011"/>
    <w:rsid w:val="00760562"/>
    <w:rsid w:val="00764613"/>
    <w:rsid w:val="0076744E"/>
    <w:rsid w:val="007703E0"/>
    <w:rsid w:val="007728EE"/>
    <w:rsid w:val="007752A0"/>
    <w:rsid w:val="007757B0"/>
    <w:rsid w:val="00775905"/>
    <w:rsid w:val="00780161"/>
    <w:rsid w:val="00784903"/>
    <w:rsid w:val="00784FCE"/>
    <w:rsid w:val="00791196"/>
    <w:rsid w:val="007911A5"/>
    <w:rsid w:val="00791B77"/>
    <w:rsid w:val="00794BDA"/>
    <w:rsid w:val="007970D0"/>
    <w:rsid w:val="007A0A4A"/>
    <w:rsid w:val="007A1191"/>
    <w:rsid w:val="007A11E2"/>
    <w:rsid w:val="007A1BA2"/>
    <w:rsid w:val="007A28B4"/>
    <w:rsid w:val="007A3C5D"/>
    <w:rsid w:val="007A3E37"/>
    <w:rsid w:val="007A43DE"/>
    <w:rsid w:val="007B01BA"/>
    <w:rsid w:val="007B4338"/>
    <w:rsid w:val="007C040B"/>
    <w:rsid w:val="007C1A85"/>
    <w:rsid w:val="007C45C2"/>
    <w:rsid w:val="007D38BE"/>
    <w:rsid w:val="007D3C48"/>
    <w:rsid w:val="007E5C1B"/>
    <w:rsid w:val="007E7300"/>
    <w:rsid w:val="007F456A"/>
    <w:rsid w:val="007F4C47"/>
    <w:rsid w:val="007F5E5B"/>
    <w:rsid w:val="00802005"/>
    <w:rsid w:val="008049C0"/>
    <w:rsid w:val="00805A82"/>
    <w:rsid w:val="008060B3"/>
    <w:rsid w:val="00806455"/>
    <w:rsid w:val="0081052F"/>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5A6"/>
    <w:rsid w:val="0087398F"/>
    <w:rsid w:val="008748B6"/>
    <w:rsid w:val="00875A74"/>
    <w:rsid w:val="0088043F"/>
    <w:rsid w:val="00881E25"/>
    <w:rsid w:val="00882836"/>
    <w:rsid w:val="0088674B"/>
    <w:rsid w:val="00890188"/>
    <w:rsid w:val="00892C47"/>
    <w:rsid w:val="00895528"/>
    <w:rsid w:val="008A54AD"/>
    <w:rsid w:val="008A7E83"/>
    <w:rsid w:val="008B0BAE"/>
    <w:rsid w:val="008B12DF"/>
    <w:rsid w:val="008B321D"/>
    <w:rsid w:val="008B6413"/>
    <w:rsid w:val="008B7628"/>
    <w:rsid w:val="008B7D0B"/>
    <w:rsid w:val="008C27D1"/>
    <w:rsid w:val="008C5207"/>
    <w:rsid w:val="008C60C9"/>
    <w:rsid w:val="008D1C36"/>
    <w:rsid w:val="008D1D37"/>
    <w:rsid w:val="008D633A"/>
    <w:rsid w:val="008E2F79"/>
    <w:rsid w:val="008E3E05"/>
    <w:rsid w:val="008F1B67"/>
    <w:rsid w:val="008F5CFE"/>
    <w:rsid w:val="0090367A"/>
    <w:rsid w:val="00904460"/>
    <w:rsid w:val="00906DFE"/>
    <w:rsid w:val="009076CF"/>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4B37"/>
    <w:rsid w:val="00955351"/>
    <w:rsid w:val="0095543A"/>
    <w:rsid w:val="00955BFD"/>
    <w:rsid w:val="00961915"/>
    <w:rsid w:val="009621C2"/>
    <w:rsid w:val="00964AE5"/>
    <w:rsid w:val="00964B48"/>
    <w:rsid w:val="00966CCE"/>
    <w:rsid w:val="00971192"/>
    <w:rsid w:val="00971CE2"/>
    <w:rsid w:val="0097243B"/>
    <w:rsid w:val="00979678"/>
    <w:rsid w:val="009807F9"/>
    <w:rsid w:val="00982A5C"/>
    <w:rsid w:val="00984C95"/>
    <w:rsid w:val="009912B9"/>
    <w:rsid w:val="0099150E"/>
    <w:rsid w:val="00992010"/>
    <w:rsid w:val="009A01C0"/>
    <w:rsid w:val="009A14BD"/>
    <w:rsid w:val="009A15BA"/>
    <w:rsid w:val="009A3C60"/>
    <w:rsid w:val="009A4076"/>
    <w:rsid w:val="009A4F09"/>
    <w:rsid w:val="009B1E99"/>
    <w:rsid w:val="009B1F9C"/>
    <w:rsid w:val="009B223F"/>
    <w:rsid w:val="009B701E"/>
    <w:rsid w:val="009B760A"/>
    <w:rsid w:val="009C40DE"/>
    <w:rsid w:val="009C4493"/>
    <w:rsid w:val="009C7073"/>
    <w:rsid w:val="009C7912"/>
    <w:rsid w:val="009D0A92"/>
    <w:rsid w:val="009E0699"/>
    <w:rsid w:val="009E07E4"/>
    <w:rsid w:val="009E487A"/>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607C"/>
    <w:rsid w:val="00A17BAC"/>
    <w:rsid w:val="00A17F8E"/>
    <w:rsid w:val="00A208E2"/>
    <w:rsid w:val="00A24202"/>
    <w:rsid w:val="00A24205"/>
    <w:rsid w:val="00A26817"/>
    <w:rsid w:val="00A26BB3"/>
    <w:rsid w:val="00A271E5"/>
    <w:rsid w:val="00A3021D"/>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2268"/>
    <w:rsid w:val="00A8527D"/>
    <w:rsid w:val="00A85896"/>
    <w:rsid w:val="00A8657C"/>
    <w:rsid w:val="00A87B69"/>
    <w:rsid w:val="00A9015F"/>
    <w:rsid w:val="00A90D9A"/>
    <w:rsid w:val="00A93139"/>
    <w:rsid w:val="00A937A8"/>
    <w:rsid w:val="00A95C66"/>
    <w:rsid w:val="00A96B62"/>
    <w:rsid w:val="00A97144"/>
    <w:rsid w:val="00AA0019"/>
    <w:rsid w:val="00AA362F"/>
    <w:rsid w:val="00AA5C10"/>
    <w:rsid w:val="00AA7247"/>
    <w:rsid w:val="00AB1B73"/>
    <w:rsid w:val="00AB4954"/>
    <w:rsid w:val="00AC0581"/>
    <w:rsid w:val="00AD1CE0"/>
    <w:rsid w:val="00AD2100"/>
    <w:rsid w:val="00AD25BC"/>
    <w:rsid w:val="00AD326F"/>
    <w:rsid w:val="00AE0D4E"/>
    <w:rsid w:val="00AE1997"/>
    <w:rsid w:val="00AE24FD"/>
    <w:rsid w:val="00AE73D8"/>
    <w:rsid w:val="00AF0846"/>
    <w:rsid w:val="00AF221A"/>
    <w:rsid w:val="00AF405C"/>
    <w:rsid w:val="00AF4B36"/>
    <w:rsid w:val="00AF4D2F"/>
    <w:rsid w:val="00AF51B4"/>
    <w:rsid w:val="00AF57BD"/>
    <w:rsid w:val="00AFC44B"/>
    <w:rsid w:val="00B03576"/>
    <w:rsid w:val="00B06113"/>
    <w:rsid w:val="00B07E88"/>
    <w:rsid w:val="00B22E16"/>
    <w:rsid w:val="00B22EED"/>
    <w:rsid w:val="00B2421D"/>
    <w:rsid w:val="00B27405"/>
    <w:rsid w:val="00B278D8"/>
    <w:rsid w:val="00B27C98"/>
    <w:rsid w:val="00B31B46"/>
    <w:rsid w:val="00B31EB7"/>
    <w:rsid w:val="00B33C59"/>
    <w:rsid w:val="00B419E1"/>
    <w:rsid w:val="00B42F7A"/>
    <w:rsid w:val="00B461D4"/>
    <w:rsid w:val="00B4656B"/>
    <w:rsid w:val="00B50E83"/>
    <w:rsid w:val="00B5229C"/>
    <w:rsid w:val="00B5325C"/>
    <w:rsid w:val="00B5535F"/>
    <w:rsid w:val="00B60D2A"/>
    <w:rsid w:val="00B6634B"/>
    <w:rsid w:val="00B70DD0"/>
    <w:rsid w:val="00B7352F"/>
    <w:rsid w:val="00B7361F"/>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D5E28"/>
    <w:rsid w:val="00BD6771"/>
    <w:rsid w:val="00BD7FE3"/>
    <w:rsid w:val="00BE0AAB"/>
    <w:rsid w:val="00BE3443"/>
    <w:rsid w:val="00BE5E45"/>
    <w:rsid w:val="00BF07D5"/>
    <w:rsid w:val="00BF1B50"/>
    <w:rsid w:val="00BF1BF9"/>
    <w:rsid w:val="00BF4403"/>
    <w:rsid w:val="00BF7C03"/>
    <w:rsid w:val="00C10B46"/>
    <w:rsid w:val="00C11DFA"/>
    <w:rsid w:val="00C1426C"/>
    <w:rsid w:val="00C2189B"/>
    <w:rsid w:val="00C21EB9"/>
    <w:rsid w:val="00C255D9"/>
    <w:rsid w:val="00C323D4"/>
    <w:rsid w:val="00C323D6"/>
    <w:rsid w:val="00C33009"/>
    <w:rsid w:val="00C35AD7"/>
    <w:rsid w:val="00C3693E"/>
    <w:rsid w:val="00C40C0A"/>
    <w:rsid w:val="00C41700"/>
    <w:rsid w:val="00C41DCA"/>
    <w:rsid w:val="00C4407D"/>
    <w:rsid w:val="00C44243"/>
    <w:rsid w:val="00C50251"/>
    <w:rsid w:val="00C5170B"/>
    <w:rsid w:val="00C525ED"/>
    <w:rsid w:val="00C52C44"/>
    <w:rsid w:val="00C5435D"/>
    <w:rsid w:val="00C54827"/>
    <w:rsid w:val="00C56E95"/>
    <w:rsid w:val="00C578DF"/>
    <w:rsid w:val="00C62725"/>
    <w:rsid w:val="00C627C7"/>
    <w:rsid w:val="00C62A9F"/>
    <w:rsid w:val="00C634F4"/>
    <w:rsid w:val="00C66FB6"/>
    <w:rsid w:val="00C70DA4"/>
    <w:rsid w:val="00C722D5"/>
    <w:rsid w:val="00C7626C"/>
    <w:rsid w:val="00C837E4"/>
    <w:rsid w:val="00C84368"/>
    <w:rsid w:val="00C84D26"/>
    <w:rsid w:val="00C942F0"/>
    <w:rsid w:val="00C953EE"/>
    <w:rsid w:val="00C96CDE"/>
    <w:rsid w:val="00CA25FA"/>
    <w:rsid w:val="00CA4173"/>
    <w:rsid w:val="00CB09BE"/>
    <w:rsid w:val="00CB342D"/>
    <w:rsid w:val="00CB48B4"/>
    <w:rsid w:val="00CC25B6"/>
    <w:rsid w:val="00CC2C35"/>
    <w:rsid w:val="00CC7094"/>
    <w:rsid w:val="00CD1911"/>
    <w:rsid w:val="00CD24C1"/>
    <w:rsid w:val="00CE0CD1"/>
    <w:rsid w:val="00CE2AEA"/>
    <w:rsid w:val="00CE3822"/>
    <w:rsid w:val="00CF08D9"/>
    <w:rsid w:val="00CF60A0"/>
    <w:rsid w:val="00CF69C8"/>
    <w:rsid w:val="00D008E2"/>
    <w:rsid w:val="00D027C7"/>
    <w:rsid w:val="00D04AE9"/>
    <w:rsid w:val="00D0637D"/>
    <w:rsid w:val="00D07C95"/>
    <w:rsid w:val="00D138B0"/>
    <w:rsid w:val="00D14BF5"/>
    <w:rsid w:val="00D16F22"/>
    <w:rsid w:val="00D24BEF"/>
    <w:rsid w:val="00D25946"/>
    <w:rsid w:val="00D32322"/>
    <w:rsid w:val="00D3314A"/>
    <w:rsid w:val="00D335B6"/>
    <w:rsid w:val="00D379DE"/>
    <w:rsid w:val="00D407E5"/>
    <w:rsid w:val="00D41793"/>
    <w:rsid w:val="00D42544"/>
    <w:rsid w:val="00D50147"/>
    <w:rsid w:val="00D51697"/>
    <w:rsid w:val="00D52FE6"/>
    <w:rsid w:val="00D54B76"/>
    <w:rsid w:val="00D56F38"/>
    <w:rsid w:val="00D57A06"/>
    <w:rsid w:val="00D61275"/>
    <w:rsid w:val="00D627E0"/>
    <w:rsid w:val="00D6554C"/>
    <w:rsid w:val="00D677C2"/>
    <w:rsid w:val="00D70347"/>
    <w:rsid w:val="00D722F8"/>
    <w:rsid w:val="00D765AF"/>
    <w:rsid w:val="00D7725B"/>
    <w:rsid w:val="00D81976"/>
    <w:rsid w:val="00D81D09"/>
    <w:rsid w:val="00D82214"/>
    <w:rsid w:val="00D82C88"/>
    <w:rsid w:val="00D86DBB"/>
    <w:rsid w:val="00D9357E"/>
    <w:rsid w:val="00D965FD"/>
    <w:rsid w:val="00D97B43"/>
    <w:rsid w:val="00DA5F38"/>
    <w:rsid w:val="00DA636C"/>
    <w:rsid w:val="00DB0CBB"/>
    <w:rsid w:val="00DB36F2"/>
    <w:rsid w:val="00DB38F8"/>
    <w:rsid w:val="00DB39CF"/>
    <w:rsid w:val="00DB4923"/>
    <w:rsid w:val="00DB4B0F"/>
    <w:rsid w:val="00DB4F10"/>
    <w:rsid w:val="00DB59D2"/>
    <w:rsid w:val="00DB7E90"/>
    <w:rsid w:val="00DC003B"/>
    <w:rsid w:val="00DC2A18"/>
    <w:rsid w:val="00DC5120"/>
    <w:rsid w:val="00DD4FCD"/>
    <w:rsid w:val="00DD6B08"/>
    <w:rsid w:val="00DD7FA8"/>
    <w:rsid w:val="00DE09B8"/>
    <w:rsid w:val="00DE3505"/>
    <w:rsid w:val="00DE68CD"/>
    <w:rsid w:val="00DF397B"/>
    <w:rsid w:val="00DF5425"/>
    <w:rsid w:val="00DF577D"/>
    <w:rsid w:val="00E003A4"/>
    <w:rsid w:val="00E026E6"/>
    <w:rsid w:val="00E06E2C"/>
    <w:rsid w:val="00E150CD"/>
    <w:rsid w:val="00E159A6"/>
    <w:rsid w:val="00E1674D"/>
    <w:rsid w:val="00E16907"/>
    <w:rsid w:val="00E2021D"/>
    <w:rsid w:val="00E22CBA"/>
    <w:rsid w:val="00E26C1A"/>
    <w:rsid w:val="00E34EF7"/>
    <w:rsid w:val="00E42C31"/>
    <w:rsid w:val="00E444B0"/>
    <w:rsid w:val="00E45DEA"/>
    <w:rsid w:val="00E46907"/>
    <w:rsid w:val="00E578B6"/>
    <w:rsid w:val="00E61186"/>
    <w:rsid w:val="00E63084"/>
    <w:rsid w:val="00E63142"/>
    <w:rsid w:val="00E6484B"/>
    <w:rsid w:val="00E65982"/>
    <w:rsid w:val="00E65EA1"/>
    <w:rsid w:val="00E70727"/>
    <w:rsid w:val="00E7181F"/>
    <w:rsid w:val="00E733C9"/>
    <w:rsid w:val="00E735D8"/>
    <w:rsid w:val="00E7399E"/>
    <w:rsid w:val="00E85354"/>
    <w:rsid w:val="00E910CA"/>
    <w:rsid w:val="00E93945"/>
    <w:rsid w:val="00E967BB"/>
    <w:rsid w:val="00EA1548"/>
    <w:rsid w:val="00EA2A26"/>
    <w:rsid w:val="00EA2D4B"/>
    <w:rsid w:val="00EA6095"/>
    <w:rsid w:val="00EB06B6"/>
    <w:rsid w:val="00EB15DD"/>
    <w:rsid w:val="00EB19B6"/>
    <w:rsid w:val="00EB26E1"/>
    <w:rsid w:val="00EB3264"/>
    <w:rsid w:val="00EB534E"/>
    <w:rsid w:val="00EB780F"/>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E412C"/>
    <w:rsid w:val="00EE4F00"/>
    <w:rsid w:val="00EF27CF"/>
    <w:rsid w:val="00EF563A"/>
    <w:rsid w:val="00EF64DF"/>
    <w:rsid w:val="00EF6D21"/>
    <w:rsid w:val="00EF74E3"/>
    <w:rsid w:val="00EF7A75"/>
    <w:rsid w:val="00F02FF9"/>
    <w:rsid w:val="00F03A09"/>
    <w:rsid w:val="00F05F5D"/>
    <w:rsid w:val="00F065FF"/>
    <w:rsid w:val="00F075B3"/>
    <w:rsid w:val="00F10A22"/>
    <w:rsid w:val="00F14D78"/>
    <w:rsid w:val="00F24A33"/>
    <w:rsid w:val="00F2618B"/>
    <w:rsid w:val="00F3688B"/>
    <w:rsid w:val="00F368BB"/>
    <w:rsid w:val="00F409A3"/>
    <w:rsid w:val="00F43821"/>
    <w:rsid w:val="00F44950"/>
    <w:rsid w:val="00F5419E"/>
    <w:rsid w:val="00F54F85"/>
    <w:rsid w:val="00F555B5"/>
    <w:rsid w:val="00F57EED"/>
    <w:rsid w:val="00F6506C"/>
    <w:rsid w:val="00F706D2"/>
    <w:rsid w:val="00F715C5"/>
    <w:rsid w:val="00F72254"/>
    <w:rsid w:val="00F74C56"/>
    <w:rsid w:val="00F751B3"/>
    <w:rsid w:val="00F7529A"/>
    <w:rsid w:val="00F752D7"/>
    <w:rsid w:val="00F80364"/>
    <w:rsid w:val="00F81752"/>
    <w:rsid w:val="00F828B2"/>
    <w:rsid w:val="00F863AB"/>
    <w:rsid w:val="00F933A4"/>
    <w:rsid w:val="00F96110"/>
    <w:rsid w:val="00FA0009"/>
    <w:rsid w:val="00FA37B4"/>
    <w:rsid w:val="00FA48E2"/>
    <w:rsid w:val="00FB14DA"/>
    <w:rsid w:val="00FB1730"/>
    <w:rsid w:val="00FB1FCA"/>
    <w:rsid w:val="00FC29CF"/>
    <w:rsid w:val="00FC3273"/>
    <w:rsid w:val="00FD3070"/>
    <w:rsid w:val="00FD3DD7"/>
    <w:rsid w:val="00FE02B1"/>
    <w:rsid w:val="00FE35D9"/>
    <w:rsid w:val="00FE60A4"/>
    <w:rsid w:val="00FE6C0F"/>
    <w:rsid w:val="00FF09CF"/>
    <w:rsid w:val="00FF0B4C"/>
    <w:rsid w:val="00FF1EA6"/>
    <w:rsid w:val="00FF36CD"/>
    <w:rsid w:val="00FF4594"/>
    <w:rsid w:val="00FF5128"/>
    <w:rsid w:val="00FF5262"/>
    <w:rsid w:val="012F44C4"/>
    <w:rsid w:val="01432F84"/>
    <w:rsid w:val="02634882"/>
    <w:rsid w:val="0272E79E"/>
    <w:rsid w:val="02A8878B"/>
    <w:rsid w:val="030A5986"/>
    <w:rsid w:val="033A3896"/>
    <w:rsid w:val="03433238"/>
    <w:rsid w:val="03451C09"/>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225A3D"/>
    <w:rsid w:val="07ADFFAB"/>
    <w:rsid w:val="07D98301"/>
    <w:rsid w:val="082AF1F6"/>
    <w:rsid w:val="08BF6D82"/>
    <w:rsid w:val="08C24AA7"/>
    <w:rsid w:val="0940B5F7"/>
    <w:rsid w:val="094BA43C"/>
    <w:rsid w:val="09689448"/>
    <w:rsid w:val="097D71D7"/>
    <w:rsid w:val="0984DCC7"/>
    <w:rsid w:val="0987B0A8"/>
    <w:rsid w:val="09B9468F"/>
    <w:rsid w:val="09E1DDDB"/>
    <w:rsid w:val="09F8B4BB"/>
    <w:rsid w:val="0B0D18E5"/>
    <w:rsid w:val="0B1EF280"/>
    <w:rsid w:val="0B4A330F"/>
    <w:rsid w:val="0B4E4321"/>
    <w:rsid w:val="0C381F10"/>
    <w:rsid w:val="0C422598"/>
    <w:rsid w:val="0D24AA46"/>
    <w:rsid w:val="0D42AEEF"/>
    <w:rsid w:val="0D9FA75C"/>
    <w:rsid w:val="0DC95A87"/>
    <w:rsid w:val="0E07A216"/>
    <w:rsid w:val="0FB8B36A"/>
    <w:rsid w:val="1040E1F0"/>
    <w:rsid w:val="106D36EF"/>
    <w:rsid w:val="108C8FEF"/>
    <w:rsid w:val="1113BC46"/>
    <w:rsid w:val="11CB0720"/>
    <w:rsid w:val="11D09864"/>
    <w:rsid w:val="1216227E"/>
    <w:rsid w:val="123090C2"/>
    <w:rsid w:val="1256B3F5"/>
    <w:rsid w:val="1283DDDC"/>
    <w:rsid w:val="12AD313B"/>
    <w:rsid w:val="12E73387"/>
    <w:rsid w:val="132B699E"/>
    <w:rsid w:val="133D5A65"/>
    <w:rsid w:val="1351A429"/>
    <w:rsid w:val="142DB8A4"/>
    <w:rsid w:val="1441A244"/>
    <w:rsid w:val="1541C3A0"/>
    <w:rsid w:val="1559BB09"/>
    <w:rsid w:val="157EA33E"/>
    <w:rsid w:val="15A9DCF2"/>
    <w:rsid w:val="165FB62F"/>
    <w:rsid w:val="1675E79E"/>
    <w:rsid w:val="16A49D70"/>
    <w:rsid w:val="16FE7488"/>
    <w:rsid w:val="1711D21C"/>
    <w:rsid w:val="1759A598"/>
    <w:rsid w:val="175A7DDF"/>
    <w:rsid w:val="1886D1D1"/>
    <w:rsid w:val="18D4CFE5"/>
    <w:rsid w:val="18EB91CA"/>
    <w:rsid w:val="1A162D12"/>
    <w:rsid w:val="1A29BCB5"/>
    <w:rsid w:val="1AB773DC"/>
    <w:rsid w:val="1AFEAAAC"/>
    <w:rsid w:val="1B043924"/>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7EA823"/>
    <w:rsid w:val="20A44D38"/>
    <w:rsid w:val="20CCA9FE"/>
    <w:rsid w:val="20DE6C99"/>
    <w:rsid w:val="21167881"/>
    <w:rsid w:val="2141F484"/>
    <w:rsid w:val="2148D0CC"/>
    <w:rsid w:val="247C9F8A"/>
    <w:rsid w:val="24F936F4"/>
    <w:rsid w:val="251ADF22"/>
    <w:rsid w:val="253E7F16"/>
    <w:rsid w:val="25579003"/>
    <w:rsid w:val="25D2CDD8"/>
    <w:rsid w:val="26AEAB9A"/>
    <w:rsid w:val="273BCBE3"/>
    <w:rsid w:val="27415990"/>
    <w:rsid w:val="27D26866"/>
    <w:rsid w:val="28B5BA90"/>
    <w:rsid w:val="28F1E27A"/>
    <w:rsid w:val="2910FE01"/>
    <w:rsid w:val="298ABC0C"/>
    <w:rsid w:val="29A27F8D"/>
    <w:rsid w:val="29A8C65D"/>
    <w:rsid w:val="2A415A55"/>
    <w:rsid w:val="2AE147E9"/>
    <w:rsid w:val="2BA48DDA"/>
    <w:rsid w:val="2BA6CEB0"/>
    <w:rsid w:val="2BC5848E"/>
    <w:rsid w:val="2C43CE45"/>
    <w:rsid w:val="2CFDD725"/>
    <w:rsid w:val="2D176E44"/>
    <w:rsid w:val="2D337020"/>
    <w:rsid w:val="2D349627"/>
    <w:rsid w:val="2D69A186"/>
    <w:rsid w:val="2D8092D5"/>
    <w:rsid w:val="2D85D0AD"/>
    <w:rsid w:val="2FF37AC0"/>
    <w:rsid w:val="30A28AB2"/>
    <w:rsid w:val="30D82190"/>
    <w:rsid w:val="30F7E641"/>
    <w:rsid w:val="31674EF0"/>
    <w:rsid w:val="3198F105"/>
    <w:rsid w:val="31DC2887"/>
    <w:rsid w:val="32B326A1"/>
    <w:rsid w:val="33328901"/>
    <w:rsid w:val="339CBE65"/>
    <w:rsid w:val="34B4345C"/>
    <w:rsid w:val="35112058"/>
    <w:rsid w:val="35996F93"/>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84F0CE"/>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17DDAB4"/>
    <w:rsid w:val="42C60B3A"/>
    <w:rsid w:val="42CBDE5D"/>
    <w:rsid w:val="42CC33CC"/>
    <w:rsid w:val="42EED2EF"/>
    <w:rsid w:val="43D18DD8"/>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69D47FD"/>
    <w:rsid w:val="47107A45"/>
    <w:rsid w:val="47918A54"/>
    <w:rsid w:val="4839DD58"/>
    <w:rsid w:val="48567A4F"/>
    <w:rsid w:val="48B88B88"/>
    <w:rsid w:val="48B99DBA"/>
    <w:rsid w:val="49709E42"/>
    <w:rsid w:val="49B9F7C2"/>
    <w:rsid w:val="49EDE2E1"/>
    <w:rsid w:val="4A0BBB14"/>
    <w:rsid w:val="4AA6215C"/>
    <w:rsid w:val="4ACE89FA"/>
    <w:rsid w:val="4BBF130D"/>
    <w:rsid w:val="4BDFF553"/>
    <w:rsid w:val="4C1BDC96"/>
    <w:rsid w:val="4C72EF4D"/>
    <w:rsid w:val="4C7F811B"/>
    <w:rsid w:val="4CB91149"/>
    <w:rsid w:val="4CB99436"/>
    <w:rsid w:val="4CC33AA4"/>
    <w:rsid w:val="4CC6B460"/>
    <w:rsid w:val="4CE0DEAA"/>
    <w:rsid w:val="4D57067D"/>
    <w:rsid w:val="4D9513C2"/>
    <w:rsid w:val="4D995DFF"/>
    <w:rsid w:val="4D9FED95"/>
    <w:rsid w:val="4DAD952A"/>
    <w:rsid w:val="4DB9F1FC"/>
    <w:rsid w:val="4DCEF8B2"/>
    <w:rsid w:val="4E68C349"/>
    <w:rsid w:val="4E984866"/>
    <w:rsid w:val="4EB7F5BA"/>
    <w:rsid w:val="4ED35FFF"/>
    <w:rsid w:val="4FA961E5"/>
    <w:rsid w:val="4FB81658"/>
    <w:rsid w:val="503250B8"/>
    <w:rsid w:val="5036EABF"/>
    <w:rsid w:val="50D747A2"/>
    <w:rsid w:val="510B48D7"/>
    <w:rsid w:val="51CD9FF2"/>
    <w:rsid w:val="520FF460"/>
    <w:rsid w:val="52363B3C"/>
    <w:rsid w:val="525AB4DA"/>
    <w:rsid w:val="52734557"/>
    <w:rsid w:val="529391D9"/>
    <w:rsid w:val="52AA61A3"/>
    <w:rsid w:val="52E7D2A0"/>
    <w:rsid w:val="549E4DD4"/>
    <w:rsid w:val="54D7DE4B"/>
    <w:rsid w:val="54E0DFFE"/>
    <w:rsid w:val="54E47430"/>
    <w:rsid w:val="54E708CF"/>
    <w:rsid w:val="556D47BF"/>
    <w:rsid w:val="55C11FFF"/>
    <w:rsid w:val="55D9FD60"/>
    <w:rsid w:val="55E36AFF"/>
    <w:rsid w:val="5602ABE4"/>
    <w:rsid w:val="56895AC7"/>
    <w:rsid w:val="569E706C"/>
    <w:rsid w:val="56F27758"/>
    <w:rsid w:val="58AA767E"/>
    <w:rsid w:val="58F590C7"/>
    <w:rsid w:val="594B155F"/>
    <w:rsid w:val="59DAD258"/>
    <w:rsid w:val="5A0AF131"/>
    <w:rsid w:val="5A4B0C7C"/>
    <w:rsid w:val="5B30FD02"/>
    <w:rsid w:val="5C0A8CC3"/>
    <w:rsid w:val="5D03A2C3"/>
    <w:rsid w:val="5D3B98DE"/>
    <w:rsid w:val="5D74852D"/>
    <w:rsid w:val="5E18668D"/>
    <w:rsid w:val="5E7DCF1F"/>
    <w:rsid w:val="5EBA1399"/>
    <w:rsid w:val="5ED07CBF"/>
    <w:rsid w:val="5EF260E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B2410A"/>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C8FF3E"/>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C2CB3D"/>
    <w:rsid w:val="71E7844B"/>
    <w:rsid w:val="72256E43"/>
    <w:rsid w:val="72412F0F"/>
    <w:rsid w:val="72773C1F"/>
    <w:rsid w:val="73487CCD"/>
    <w:rsid w:val="7373DA17"/>
    <w:rsid w:val="73A01840"/>
    <w:rsid w:val="73C314C3"/>
    <w:rsid w:val="743F3EA6"/>
    <w:rsid w:val="74B77228"/>
    <w:rsid w:val="75445056"/>
    <w:rsid w:val="75C65AC1"/>
    <w:rsid w:val="75D477FA"/>
    <w:rsid w:val="767EC724"/>
    <w:rsid w:val="76FEC555"/>
    <w:rsid w:val="770A8517"/>
    <w:rsid w:val="770CF9DB"/>
    <w:rsid w:val="773D7F27"/>
    <w:rsid w:val="77749406"/>
    <w:rsid w:val="77B722B3"/>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 w:val="7FFA1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27BD458E-FB27-43C7-B863-EF8C694FF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FollowedHyperlink">
    <w:name w:val="FollowedHyperlink"/>
    <w:basedOn w:val="DefaultParagraphFont"/>
    <w:uiPriority w:val="99"/>
    <w:semiHidden/>
    <w:unhideWhenUsed/>
    <w:rsid w:val="00E7399E"/>
    <w:rPr>
      <w:color w:val="96607D" w:themeColor="followedHyperlink"/>
      <w:u w:val="single"/>
    </w:rPr>
  </w:style>
  <w:style w:type="character" w:styleId="UnresolvedMention">
    <w:name w:val="Unresolved Mention"/>
    <w:basedOn w:val="DefaultParagraphFont"/>
    <w:uiPriority w:val="99"/>
    <w:semiHidden/>
    <w:unhideWhenUsed/>
    <w:rsid w:val="00E7399E"/>
    <w:rPr>
      <w:color w:val="605E5C"/>
      <w:shd w:val="clear" w:color="auto" w:fill="E1DFDD"/>
    </w:rPr>
  </w:style>
  <w:style w:type="paragraph" w:styleId="ListParagraph">
    <w:name w:val="List Paragraph"/>
    <w:basedOn w:val="Normal"/>
    <w:uiPriority w:val="34"/>
    <w:qFormat/>
    <w:rsid w:val="00615460"/>
    <w:pPr>
      <w:ind w:left="720"/>
      <w:contextualSpacing/>
    </w:pPr>
  </w:style>
  <w:style w:type="table" w:styleId="TableGrid0">
    <w:name w:val="Table Grid"/>
    <w:basedOn w:val="TableNormal"/>
    <w:uiPriority w:val="39"/>
    <w:rsid w:val="00EA1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scientific-guideline/guideline-pharmacokinetic-and-clinical-evaluation-modified-release-dosage-forms_en.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iris.who.int/handle/10665/376607" TargetMode="External"/><Relationship Id="rId17" Type="http://schemas.openxmlformats.org/officeDocument/2006/relationships/hyperlink" Target="https://extranet.who.int/prequal/sites/default/files/document_files/146%20PaediatricProductsNote_Jan202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xtranet.who.int/prequal/sites/default/files/document_files/Frequent-Deficiencies_BE-Protocols_April2025_0.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xtranet.who.int/prequal/sites/default/files/document_files/Additional_Strength_Biowaiver_Guideline_May2021.pdf"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tranet.who.int/prequal/sites/default/files/document_files/AUC_criteria_July2021.pdf"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2.xml><?xml version="1.0" encoding="utf-8"?>
<ds:datastoreItem xmlns:ds="http://schemas.openxmlformats.org/officeDocument/2006/customXml" ds:itemID="{B9CF2404-EA34-4143-BB54-3597AD813174}">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3.xml><?xml version="1.0" encoding="utf-8"?>
<ds:datastoreItem xmlns:ds="http://schemas.openxmlformats.org/officeDocument/2006/customXml" ds:itemID="{D96C8D5A-B482-43A3-A311-D016F1F84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d72d09-8060-4d76-be24-532ec6493c7b"/>
    <ds:schemaRef ds:uri="9db4c84e-eb84-4c1e-9da8-e0e5c3ee5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B21568-DAB2-494F-B32F-34A3319D65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1262</Words>
  <Characters>6553</Characters>
  <Application>Microsoft Office Word</Application>
  <DocSecurity>0</DocSecurity>
  <Lines>273</Lines>
  <Paragraphs>130</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7</cp:revision>
  <dcterms:created xsi:type="dcterms:W3CDTF">2025-12-02T19:24:00Z</dcterms:created>
  <dcterms:modified xsi:type="dcterms:W3CDTF">2026-03-10T11:59:00Z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