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6BFF6A9F" w:rsidR="005C018C" w:rsidRPr="00537698" w:rsidRDefault="00191915" w:rsidP="00537698">
      <w:pPr>
        <w:spacing w:after="0" w:line="276" w:lineRule="auto"/>
        <w:ind w:left="6" w:hanging="10"/>
        <w:jc w:val="center"/>
        <w:rPr>
          <w:rFonts w:ascii="Gill Sans MT" w:hAnsi="Gill Sans MT"/>
          <w:color w:val="003399"/>
          <w:sz w:val="24"/>
        </w:rPr>
      </w:pPr>
      <w:r w:rsidRPr="00537698">
        <w:rPr>
          <w:rFonts w:ascii="Gill Sans MT" w:hAnsi="Gill Sans MT"/>
          <w:noProof/>
          <w:sz w:val="24"/>
          <w:lang w:val="en-GB"/>
        </w:rPr>
        <w:drawing>
          <wp:inline distT="0" distB="0" distL="0" distR="0" wp14:anchorId="2E6C60CA" wp14:editId="0EC9EFA4">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17A1A500" w14:textId="77777777" w:rsidR="005C018C" w:rsidRPr="00537698" w:rsidRDefault="005C018C" w:rsidP="00537698">
      <w:pPr>
        <w:spacing w:after="0" w:line="276" w:lineRule="auto"/>
        <w:ind w:left="6" w:hanging="10"/>
        <w:rPr>
          <w:rFonts w:ascii="Gill Sans MT" w:hAnsi="Gill Sans MT"/>
          <w:color w:val="003399"/>
          <w:sz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C018C" w:rsidRPr="00191915" w14:paraId="4D52DA27" w14:textId="77777777" w:rsidTr="03CFE8C1">
        <w:tc>
          <w:tcPr>
            <w:tcW w:w="9923" w:type="dxa"/>
          </w:tcPr>
          <w:p w14:paraId="307D2DCD" w14:textId="40AA349F" w:rsidR="005C018C" w:rsidRPr="00537698" w:rsidRDefault="00EA5BE8" w:rsidP="00537698">
            <w:pPr>
              <w:pStyle w:val="BodyText"/>
              <w:spacing w:before="120" w:after="80" w:line="276" w:lineRule="auto"/>
              <w:jc w:val="center"/>
              <w:rPr>
                <w:rFonts w:ascii="Gill Sans MT" w:hAnsi="Gill Sans MT" w:cs="Times New Roman"/>
                <w:szCs w:val="24"/>
                <w:lang w:val="en-GB"/>
              </w:rPr>
            </w:pPr>
            <w:r w:rsidRPr="00537698">
              <w:rPr>
                <w:rFonts w:ascii="Gill Sans MT" w:hAnsi="Gill Sans MT" w:cs="Times New Roman"/>
                <w:szCs w:val="24"/>
                <w:lang w:val="en-GB"/>
              </w:rPr>
              <w:t xml:space="preserve">Protocol to </w:t>
            </w:r>
            <w:r w:rsidR="00270755" w:rsidRPr="00537698">
              <w:rPr>
                <w:rFonts w:ascii="Gill Sans MT" w:hAnsi="Gill Sans MT" w:cs="Times New Roman"/>
                <w:szCs w:val="24"/>
                <w:lang w:val="en-GB"/>
              </w:rPr>
              <w:t>C</w:t>
            </w:r>
            <w:r w:rsidRPr="00537698">
              <w:rPr>
                <w:rFonts w:ascii="Gill Sans MT" w:hAnsi="Gill Sans MT" w:cs="Times New Roman"/>
                <w:szCs w:val="24"/>
                <w:lang w:val="en-GB"/>
              </w:rPr>
              <w:t xml:space="preserve">onduct </w:t>
            </w:r>
            <w:r w:rsidR="00270755" w:rsidRPr="00537698">
              <w:rPr>
                <w:rFonts w:ascii="Gill Sans MT" w:hAnsi="Gill Sans MT" w:cs="Times New Roman"/>
                <w:szCs w:val="24"/>
                <w:lang w:val="en-GB"/>
              </w:rPr>
              <w:t>E</w:t>
            </w:r>
            <w:r w:rsidRPr="00537698">
              <w:rPr>
                <w:rFonts w:ascii="Gill Sans MT" w:hAnsi="Gill Sans MT" w:cs="Times New Roman"/>
                <w:szCs w:val="24"/>
                <w:lang w:val="en-GB"/>
              </w:rPr>
              <w:t xml:space="preserve">quilibrium </w:t>
            </w:r>
            <w:r w:rsidR="00270755" w:rsidRPr="00537698">
              <w:rPr>
                <w:rFonts w:ascii="Gill Sans MT" w:hAnsi="Gill Sans MT" w:cs="Times New Roman"/>
                <w:szCs w:val="24"/>
                <w:lang w:val="en-GB"/>
              </w:rPr>
              <w:t>S</w:t>
            </w:r>
            <w:r w:rsidRPr="00537698">
              <w:rPr>
                <w:rFonts w:ascii="Gill Sans MT" w:hAnsi="Gill Sans MT" w:cs="Times New Roman"/>
                <w:szCs w:val="24"/>
                <w:lang w:val="en-GB"/>
              </w:rPr>
              <w:t xml:space="preserve">olubility </w:t>
            </w:r>
            <w:r w:rsidR="00270755" w:rsidRPr="00537698">
              <w:rPr>
                <w:rFonts w:ascii="Gill Sans MT" w:hAnsi="Gill Sans MT" w:cs="Times New Roman"/>
                <w:szCs w:val="24"/>
                <w:lang w:val="en-GB"/>
              </w:rPr>
              <w:t>E</w:t>
            </w:r>
            <w:r w:rsidRPr="00537698">
              <w:rPr>
                <w:rFonts w:ascii="Gill Sans MT" w:hAnsi="Gill Sans MT" w:cs="Times New Roman"/>
                <w:szCs w:val="24"/>
                <w:lang w:val="en-GB"/>
              </w:rPr>
              <w:t xml:space="preserve">xperiments for the </w:t>
            </w:r>
            <w:r w:rsidR="00270755" w:rsidRPr="00537698">
              <w:rPr>
                <w:rFonts w:ascii="Gill Sans MT" w:hAnsi="Gill Sans MT" w:cs="Times New Roman"/>
                <w:szCs w:val="24"/>
                <w:lang w:val="en-GB"/>
              </w:rPr>
              <w:t>P</w:t>
            </w:r>
            <w:r w:rsidRPr="00537698">
              <w:rPr>
                <w:rFonts w:ascii="Gill Sans MT" w:hAnsi="Gill Sans MT" w:cs="Times New Roman"/>
                <w:szCs w:val="24"/>
                <w:lang w:val="en-GB"/>
              </w:rPr>
              <w:t xml:space="preserve">urpose of Biopharmaceutics Classification System-based </w:t>
            </w:r>
            <w:r w:rsidR="00270755" w:rsidRPr="00537698">
              <w:rPr>
                <w:rFonts w:ascii="Gill Sans MT" w:hAnsi="Gill Sans MT" w:cs="Times New Roman"/>
                <w:szCs w:val="24"/>
                <w:lang w:val="en-GB"/>
              </w:rPr>
              <w:t>C</w:t>
            </w:r>
            <w:r w:rsidRPr="00537698">
              <w:rPr>
                <w:rFonts w:ascii="Gill Sans MT" w:hAnsi="Gill Sans MT" w:cs="Times New Roman"/>
                <w:szCs w:val="24"/>
                <w:lang w:val="en-GB"/>
              </w:rPr>
              <w:t xml:space="preserve">lassification of </w:t>
            </w:r>
            <w:r w:rsidR="00270755" w:rsidRPr="00537698">
              <w:rPr>
                <w:rFonts w:ascii="Gill Sans MT" w:hAnsi="Gill Sans MT" w:cs="Times New Roman"/>
                <w:szCs w:val="24"/>
                <w:lang w:val="en-GB"/>
              </w:rPr>
              <w:t>A</w:t>
            </w:r>
            <w:r w:rsidRPr="00537698">
              <w:rPr>
                <w:rFonts w:ascii="Gill Sans MT" w:hAnsi="Gill Sans MT" w:cs="Times New Roman"/>
                <w:szCs w:val="24"/>
                <w:lang w:val="en-GB"/>
              </w:rPr>
              <w:t xml:space="preserve">ctive </w:t>
            </w:r>
            <w:r w:rsidR="00270755" w:rsidRPr="00537698">
              <w:rPr>
                <w:rFonts w:ascii="Gill Sans MT" w:hAnsi="Gill Sans MT" w:cs="Times New Roman"/>
                <w:szCs w:val="24"/>
                <w:lang w:val="en-GB"/>
              </w:rPr>
              <w:t>P</w:t>
            </w:r>
            <w:r w:rsidRPr="00537698">
              <w:rPr>
                <w:rFonts w:ascii="Gill Sans MT" w:hAnsi="Gill Sans MT" w:cs="Times New Roman"/>
                <w:szCs w:val="24"/>
                <w:lang w:val="en-GB"/>
              </w:rPr>
              <w:t xml:space="preserve">harmaceutical </w:t>
            </w:r>
            <w:r w:rsidR="00270755" w:rsidRPr="00537698">
              <w:rPr>
                <w:rFonts w:ascii="Gill Sans MT" w:hAnsi="Gill Sans MT" w:cs="Times New Roman"/>
                <w:szCs w:val="24"/>
                <w:lang w:val="en-GB"/>
              </w:rPr>
              <w:t>I</w:t>
            </w:r>
            <w:r w:rsidRPr="00537698">
              <w:rPr>
                <w:rFonts w:ascii="Gill Sans MT" w:hAnsi="Gill Sans MT" w:cs="Times New Roman"/>
                <w:szCs w:val="24"/>
                <w:lang w:val="en-GB"/>
              </w:rPr>
              <w:t xml:space="preserve">ngredients for </w:t>
            </w:r>
            <w:r w:rsidR="00270755" w:rsidRPr="00537698">
              <w:rPr>
                <w:rFonts w:ascii="Gill Sans MT" w:hAnsi="Gill Sans MT" w:cs="Times New Roman"/>
                <w:szCs w:val="24"/>
                <w:lang w:val="en-GB"/>
              </w:rPr>
              <w:t>B</w:t>
            </w:r>
            <w:r w:rsidRPr="00537698">
              <w:rPr>
                <w:rFonts w:ascii="Gill Sans MT" w:hAnsi="Gill Sans MT" w:cs="Times New Roman"/>
                <w:szCs w:val="24"/>
                <w:lang w:val="en-GB"/>
              </w:rPr>
              <w:t>iowaiver</w:t>
            </w:r>
          </w:p>
        </w:tc>
      </w:tr>
    </w:tbl>
    <w:p w14:paraId="40A315F2" w14:textId="77777777" w:rsidR="00191915" w:rsidRPr="00537698" w:rsidRDefault="00191915" w:rsidP="00537698">
      <w:pPr>
        <w:spacing w:after="160" w:line="276" w:lineRule="auto"/>
        <w:ind w:left="0" w:firstLine="0"/>
        <w:rPr>
          <w:rFonts w:ascii="Gill Sans MT" w:hAnsi="Gill Sans MT"/>
          <w:b/>
          <w:sz w:val="24"/>
          <w:lang w:val="en-GB"/>
        </w:rPr>
      </w:pPr>
    </w:p>
    <w:tbl>
      <w:tblPr>
        <w:tblW w:w="9930"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930"/>
      </w:tblGrid>
      <w:tr w:rsidR="00191915" w:rsidRPr="00191915" w14:paraId="440218CA" w14:textId="77777777">
        <w:trPr>
          <w:trHeight w:val="300"/>
        </w:trPr>
        <w:tc>
          <w:tcPr>
            <w:tcW w:w="9923" w:type="dxa"/>
            <w:tcBorders>
              <w:top w:val="double" w:sz="4" w:space="0" w:color="auto"/>
              <w:left w:val="double" w:sz="4" w:space="0" w:color="auto"/>
              <w:bottom w:val="double" w:sz="4" w:space="0" w:color="auto"/>
              <w:right w:val="double" w:sz="4" w:space="0" w:color="auto"/>
            </w:tcBorders>
            <w:hideMark/>
          </w:tcPr>
          <w:p w14:paraId="4B8DA940" w14:textId="77777777" w:rsidR="00191915" w:rsidRPr="00537698" w:rsidRDefault="00191915" w:rsidP="00537698">
            <w:pPr>
              <w:spacing w:after="160" w:line="276" w:lineRule="auto"/>
              <w:ind w:left="0" w:firstLine="0"/>
              <w:jc w:val="center"/>
              <w:rPr>
                <w:rFonts w:ascii="Gill Sans MT" w:hAnsi="Gill Sans MT"/>
                <w:bCs/>
                <w:sz w:val="24"/>
                <w:lang w:val="en-GB"/>
              </w:rPr>
            </w:pPr>
            <w:r w:rsidRPr="00537698">
              <w:rPr>
                <w:rFonts w:ascii="Gill Sans MT" w:hAnsi="Gill Sans MT"/>
                <w:bCs/>
                <w:sz w:val="24"/>
                <w:lang w:val="en-GB"/>
              </w:rPr>
              <w:t>Document Number: XXX</w:t>
            </w:r>
          </w:p>
          <w:p w14:paraId="14A2C8E8" w14:textId="77777777" w:rsidR="00191915" w:rsidRPr="00537698" w:rsidRDefault="00191915" w:rsidP="00537698">
            <w:pPr>
              <w:spacing w:after="160" w:line="276" w:lineRule="auto"/>
              <w:ind w:left="0" w:firstLine="0"/>
              <w:jc w:val="center"/>
              <w:rPr>
                <w:rFonts w:ascii="Gill Sans MT" w:hAnsi="Gill Sans MT"/>
                <w:b/>
                <w:sz w:val="24"/>
                <w:lang w:val="en-GB"/>
              </w:rPr>
            </w:pPr>
            <w:r w:rsidRPr="00537698">
              <w:rPr>
                <w:rFonts w:ascii="Gill Sans MT" w:hAnsi="Gill Sans MT"/>
                <w:bCs/>
                <w:sz w:val="24"/>
                <w:lang w:val="en-GB"/>
              </w:rPr>
              <w:t>Version: XX</w:t>
            </w:r>
          </w:p>
        </w:tc>
      </w:tr>
    </w:tbl>
    <w:p w14:paraId="1F7DD32E" w14:textId="77777777" w:rsidR="00191915" w:rsidRPr="00537698" w:rsidRDefault="00191915" w:rsidP="00537698">
      <w:pPr>
        <w:spacing w:after="160" w:line="276" w:lineRule="auto"/>
        <w:ind w:left="0" w:firstLine="0"/>
        <w:rPr>
          <w:rFonts w:ascii="Gill Sans MT" w:hAnsi="Gill Sans MT"/>
          <w:b/>
          <w:sz w:val="24"/>
          <w:lang w:val="en-GB"/>
        </w:rPr>
      </w:pPr>
    </w:p>
    <w:tbl>
      <w:tblPr>
        <w:tblW w:w="9750"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4A0" w:firstRow="1" w:lastRow="0" w:firstColumn="1" w:lastColumn="0" w:noHBand="0" w:noVBand="1"/>
      </w:tblPr>
      <w:tblGrid>
        <w:gridCol w:w="392"/>
        <w:gridCol w:w="7231"/>
        <w:gridCol w:w="2127"/>
      </w:tblGrid>
      <w:tr w:rsidR="00191915" w:rsidRPr="00191915" w14:paraId="6D5B854E" w14:textId="77777777">
        <w:trPr>
          <w:trHeight w:val="300"/>
        </w:trPr>
        <w:tc>
          <w:tcPr>
            <w:tcW w:w="392" w:type="dxa"/>
            <w:tcBorders>
              <w:top w:val="double" w:sz="4" w:space="0" w:color="auto"/>
              <w:left w:val="double" w:sz="4" w:space="0" w:color="auto"/>
              <w:bottom w:val="dotted" w:sz="4" w:space="0" w:color="auto"/>
              <w:right w:val="dotted" w:sz="4" w:space="0" w:color="auto"/>
            </w:tcBorders>
          </w:tcPr>
          <w:p w14:paraId="391B3E5D" w14:textId="77777777" w:rsidR="00191915" w:rsidRPr="00537698" w:rsidRDefault="00191915" w:rsidP="00537698">
            <w:pPr>
              <w:spacing w:after="160" w:line="276" w:lineRule="auto"/>
              <w:ind w:left="0" w:firstLine="0"/>
              <w:rPr>
                <w:rFonts w:ascii="Gill Sans MT" w:hAnsi="Gill Sans MT"/>
                <w:b/>
                <w:sz w:val="24"/>
                <w:lang w:val="en-GB"/>
              </w:rPr>
            </w:pPr>
          </w:p>
        </w:tc>
        <w:tc>
          <w:tcPr>
            <w:tcW w:w="7229" w:type="dxa"/>
            <w:tcBorders>
              <w:top w:val="double" w:sz="4" w:space="0" w:color="auto"/>
              <w:left w:val="dotted" w:sz="4" w:space="0" w:color="auto"/>
              <w:bottom w:val="dotted" w:sz="4" w:space="0" w:color="auto"/>
              <w:right w:val="dotted" w:sz="4" w:space="0" w:color="auto"/>
            </w:tcBorders>
            <w:hideMark/>
          </w:tcPr>
          <w:p w14:paraId="65344788" w14:textId="77777777" w:rsidR="00191915" w:rsidRPr="00537698" w:rsidRDefault="00191915" w:rsidP="00537698">
            <w:pPr>
              <w:spacing w:after="160" w:line="276" w:lineRule="auto"/>
              <w:ind w:left="0" w:firstLine="0"/>
              <w:rPr>
                <w:rFonts w:ascii="Gill Sans MT" w:hAnsi="Gill Sans MT"/>
                <w:b/>
                <w:sz w:val="24"/>
                <w:lang w:val="en-GB"/>
              </w:rPr>
            </w:pPr>
            <w:r w:rsidRPr="00537698">
              <w:rPr>
                <w:rFonts w:ascii="Gill Sans MT" w:hAnsi="Gill Sans MT"/>
                <w:b/>
                <w:sz w:val="24"/>
                <w:lang w:val="en-GB"/>
              </w:rPr>
              <w:t>Steps followed</w:t>
            </w:r>
          </w:p>
        </w:tc>
        <w:tc>
          <w:tcPr>
            <w:tcW w:w="2126" w:type="dxa"/>
            <w:tcBorders>
              <w:top w:val="double" w:sz="4" w:space="0" w:color="auto"/>
              <w:left w:val="dotted" w:sz="4" w:space="0" w:color="auto"/>
              <w:bottom w:val="dotted" w:sz="4" w:space="0" w:color="auto"/>
              <w:right w:val="double" w:sz="4" w:space="0" w:color="auto"/>
            </w:tcBorders>
            <w:hideMark/>
          </w:tcPr>
          <w:p w14:paraId="21A90CC4" w14:textId="77777777" w:rsidR="00191915" w:rsidRPr="00537698" w:rsidRDefault="00191915" w:rsidP="00537698">
            <w:pPr>
              <w:spacing w:after="160" w:line="276" w:lineRule="auto"/>
              <w:ind w:left="0" w:firstLine="0"/>
              <w:rPr>
                <w:rFonts w:ascii="Gill Sans MT" w:hAnsi="Gill Sans MT"/>
                <w:b/>
                <w:sz w:val="24"/>
                <w:lang w:val="en-GB"/>
              </w:rPr>
            </w:pPr>
            <w:r w:rsidRPr="00537698">
              <w:rPr>
                <w:rFonts w:ascii="Gill Sans MT" w:hAnsi="Gill Sans MT"/>
                <w:b/>
                <w:sz w:val="24"/>
                <w:lang w:val="en-GB"/>
              </w:rPr>
              <w:t>Date</w:t>
            </w:r>
          </w:p>
        </w:tc>
      </w:tr>
      <w:tr w:rsidR="00191915" w:rsidRPr="00191915" w14:paraId="00029E10" w14:textId="77777777">
        <w:tc>
          <w:tcPr>
            <w:tcW w:w="392" w:type="dxa"/>
            <w:tcBorders>
              <w:top w:val="dotted" w:sz="4" w:space="0" w:color="auto"/>
              <w:left w:val="double" w:sz="4" w:space="0" w:color="auto"/>
              <w:bottom w:val="dotted" w:sz="4" w:space="0" w:color="auto"/>
              <w:right w:val="dotted" w:sz="4" w:space="0" w:color="auto"/>
            </w:tcBorders>
            <w:hideMark/>
          </w:tcPr>
          <w:p w14:paraId="6B15F3D3"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1</w:t>
            </w:r>
          </w:p>
        </w:tc>
        <w:tc>
          <w:tcPr>
            <w:tcW w:w="7229" w:type="dxa"/>
            <w:tcBorders>
              <w:top w:val="dotted" w:sz="4" w:space="0" w:color="auto"/>
              <w:left w:val="dotted" w:sz="4" w:space="0" w:color="auto"/>
              <w:bottom w:val="dotted" w:sz="4" w:space="0" w:color="auto"/>
              <w:right w:val="dotted" w:sz="4" w:space="0" w:color="auto"/>
            </w:tcBorders>
            <w:hideMark/>
          </w:tcPr>
          <w:p w14:paraId="4437D479"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Initial draft produced by ZAZIBONA Guidance Document Review and Drafting Technical Working Group</w:t>
            </w:r>
          </w:p>
        </w:tc>
        <w:tc>
          <w:tcPr>
            <w:tcW w:w="2126" w:type="dxa"/>
            <w:tcBorders>
              <w:top w:val="dotted" w:sz="4" w:space="0" w:color="auto"/>
              <w:left w:val="dotted" w:sz="4" w:space="0" w:color="auto"/>
              <w:bottom w:val="dotted" w:sz="4" w:space="0" w:color="auto"/>
              <w:right w:val="double" w:sz="4" w:space="0" w:color="auto"/>
            </w:tcBorders>
            <w:hideMark/>
          </w:tcPr>
          <w:p w14:paraId="2CDEF24F"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November 2025</w:t>
            </w:r>
          </w:p>
        </w:tc>
      </w:tr>
      <w:tr w:rsidR="00191915" w:rsidRPr="00191915" w14:paraId="6E8031A6" w14:textId="77777777">
        <w:trPr>
          <w:trHeight w:val="300"/>
        </w:trPr>
        <w:tc>
          <w:tcPr>
            <w:tcW w:w="392" w:type="dxa"/>
            <w:tcBorders>
              <w:top w:val="dotted" w:sz="4" w:space="0" w:color="auto"/>
              <w:left w:val="double" w:sz="4" w:space="0" w:color="auto"/>
              <w:bottom w:val="dotted" w:sz="4" w:space="0" w:color="auto"/>
              <w:right w:val="dotted" w:sz="4" w:space="0" w:color="auto"/>
            </w:tcBorders>
            <w:hideMark/>
          </w:tcPr>
          <w:p w14:paraId="7F768BB9"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2</w:t>
            </w:r>
          </w:p>
        </w:tc>
        <w:tc>
          <w:tcPr>
            <w:tcW w:w="7229" w:type="dxa"/>
            <w:tcBorders>
              <w:top w:val="dotted" w:sz="4" w:space="0" w:color="auto"/>
              <w:left w:val="dotted" w:sz="4" w:space="0" w:color="auto"/>
              <w:bottom w:val="dotted" w:sz="4" w:space="0" w:color="auto"/>
              <w:right w:val="dotted" w:sz="4" w:space="0" w:color="auto"/>
            </w:tcBorders>
            <w:hideMark/>
          </w:tcPr>
          <w:p w14:paraId="01DB3618"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Drafting incorporating ZAZIBONA Participating Member States comments</w:t>
            </w:r>
          </w:p>
        </w:tc>
        <w:tc>
          <w:tcPr>
            <w:tcW w:w="2126" w:type="dxa"/>
            <w:tcBorders>
              <w:top w:val="dotted" w:sz="4" w:space="0" w:color="auto"/>
              <w:left w:val="dotted" w:sz="4" w:space="0" w:color="auto"/>
              <w:bottom w:val="dotted" w:sz="4" w:space="0" w:color="auto"/>
              <w:right w:val="double" w:sz="4" w:space="0" w:color="auto"/>
            </w:tcBorders>
          </w:tcPr>
          <w:p w14:paraId="51B6D7C3" w14:textId="77777777" w:rsidR="00191915" w:rsidRPr="00537698" w:rsidRDefault="00191915" w:rsidP="00537698">
            <w:pPr>
              <w:spacing w:after="160" w:line="276" w:lineRule="auto"/>
              <w:ind w:left="0" w:firstLine="0"/>
              <w:rPr>
                <w:rFonts w:ascii="Gill Sans MT" w:hAnsi="Gill Sans MT"/>
                <w:sz w:val="24"/>
                <w:lang w:val="en-GB"/>
              </w:rPr>
            </w:pPr>
          </w:p>
        </w:tc>
      </w:tr>
      <w:tr w:rsidR="00191915" w:rsidRPr="00191915" w14:paraId="76783456" w14:textId="77777777">
        <w:trPr>
          <w:trHeight w:val="300"/>
        </w:trPr>
        <w:tc>
          <w:tcPr>
            <w:tcW w:w="392" w:type="dxa"/>
            <w:tcBorders>
              <w:top w:val="dotted" w:sz="4" w:space="0" w:color="auto"/>
              <w:left w:val="double" w:sz="4" w:space="0" w:color="auto"/>
              <w:bottom w:val="dotted" w:sz="4" w:space="0" w:color="auto"/>
              <w:right w:val="dotted" w:sz="4" w:space="0" w:color="auto"/>
            </w:tcBorders>
            <w:hideMark/>
          </w:tcPr>
          <w:p w14:paraId="46FDAE08"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3</w:t>
            </w:r>
          </w:p>
        </w:tc>
        <w:tc>
          <w:tcPr>
            <w:tcW w:w="7229" w:type="dxa"/>
            <w:tcBorders>
              <w:top w:val="dotted" w:sz="4" w:space="0" w:color="auto"/>
              <w:left w:val="dotted" w:sz="4" w:space="0" w:color="auto"/>
              <w:bottom w:val="dotted" w:sz="4" w:space="0" w:color="auto"/>
              <w:right w:val="dotted" w:sz="4" w:space="0" w:color="auto"/>
            </w:tcBorders>
            <w:hideMark/>
          </w:tcPr>
          <w:p w14:paraId="0D0A4525"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Drafting incorporating Stakeholders comments</w:t>
            </w:r>
          </w:p>
        </w:tc>
        <w:tc>
          <w:tcPr>
            <w:tcW w:w="2126" w:type="dxa"/>
            <w:tcBorders>
              <w:top w:val="dotted" w:sz="4" w:space="0" w:color="auto"/>
              <w:left w:val="dotted" w:sz="4" w:space="0" w:color="auto"/>
              <w:bottom w:val="dotted" w:sz="4" w:space="0" w:color="auto"/>
              <w:right w:val="double" w:sz="4" w:space="0" w:color="auto"/>
            </w:tcBorders>
          </w:tcPr>
          <w:p w14:paraId="5E0B66EB" w14:textId="77777777" w:rsidR="00191915" w:rsidRPr="00537698" w:rsidRDefault="00191915" w:rsidP="00537698">
            <w:pPr>
              <w:spacing w:after="160" w:line="276" w:lineRule="auto"/>
              <w:ind w:left="0" w:firstLine="0"/>
              <w:rPr>
                <w:rFonts w:ascii="Gill Sans MT" w:hAnsi="Gill Sans MT"/>
                <w:sz w:val="24"/>
                <w:lang w:val="en-GB"/>
              </w:rPr>
            </w:pPr>
          </w:p>
        </w:tc>
      </w:tr>
      <w:tr w:rsidR="00191915" w:rsidRPr="00191915" w14:paraId="0BE4A1B7" w14:textId="77777777">
        <w:trPr>
          <w:trHeight w:val="300"/>
        </w:trPr>
        <w:tc>
          <w:tcPr>
            <w:tcW w:w="392" w:type="dxa"/>
            <w:tcBorders>
              <w:top w:val="dotted" w:sz="4" w:space="0" w:color="auto"/>
              <w:left w:val="double" w:sz="4" w:space="0" w:color="auto"/>
              <w:bottom w:val="dotted" w:sz="4" w:space="0" w:color="auto"/>
              <w:right w:val="dotted" w:sz="4" w:space="0" w:color="auto"/>
            </w:tcBorders>
            <w:hideMark/>
          </w:tcPr>
          <w:p w14:paraId="7C7CC7D1"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4</w:t>
            </w:r>
          </w:p>
        </w:tc>
        <w:tc>
          <w:tcPr>
            <w:tcW w:w="7229" w:type="dxa"/>
            <w:tcBorders>
              <w:top w:val="dotted" w:sz="4" w:space="0" w:color="auto"/>
              <w:left w:val="dotted" w:sz="4" w:space="0" w:color="auto"/>
              <w:bottom w:val="dotted" w:sz="4" w:space="0" w:color="auto"/>
              <w:right w:val="dotted" w:sz="4" w:space="0" w:color="auto"/>
            </w:tcBorders>
            <w:hideMark/>
          </w:tcPr>
          <w:p w14:paraId="5A0A9170"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 xml:space="preserve">Final draft incorporating ZAZIBONA Participating Member States and Stakeholder comments </w:t>
            </w:r>
          </w:p>
        </w:tc>
        <w:tc>
          <w:tcPr>
            <w:tcW w:w="2126" w:type="dxa"/>
            <w:tcBorders>
              <w:top w:val="dotted" w:sz="4" w:space="0" w:color="auto"/>
              <w:left w:val="dotted" w:sz="4" w:space="0" w:color="auto"/>
              <w:bottom w:val="dotted" w:sz="4" w:space="0" w:color="auto"/>
              <w:right w:val="double" w:sz="4" w:space="0" w:color="auto"/>
            </w:tcBorders>
          </w:tcPr>
          <w:p w14:paraId="627A60E8" w14:textId="77777777" w:rsidR="00191915" w:rsidRPr="00537698" w:rsidRDefault="00191915" w:rsidP="00537698">
            <w:pPr>
              <w:spacing w:after="160" w:line="276" w:lineRule="auto"/>
              <w:ind w:left="0" w:firstLine="0"/>
              <w:rPr>
                <w:rFonts w:ascii="Gill Sans MT" w:hAnsi="Gill Sans MT"/>
                <w:b/>
                <w:sz w:val="24"/>
                <w:lang w:val="en-GB"/>
              </w:rPr>
            </w:pPr>
          </w:p>
        </w:tc>
      </w:tr>
      <w:tr w:rsidR="00191915" w:rsidRPr="00191915" w14:paraId="4C6D5B47" w14:textId="77777777">
        <w:trPr>
          <w:trHeight w:val="300"/>
        </w:trPr>
        <w:tc>
          <w:tcPr>
            <w:tcW w:w="392" w:type="dxa"/>
            <w:tcBorders>
              <w:top w:val="dotted" w:sz="4" w:space="0" w:color="auto"/>
              <w:left w:val="double" w:sz="4" w:space="0" w:color="auto"/>
              <w:bottom w:val="dotted" w:sz="4" w:space="0" w:color="auto"/>
              <w:right w:val="dotted" w:sz="4" w:space="0" w:color="auto"/>
            </w:tcBorders>
            <w:hideMark/>
          </w:tcPr>
          <w:p w14:paraId="5D1C9F81"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5</w:t>
            </w:r>
          </w:p>
        </w:tc>
        <w:tc>
          <w:tcPr>
            <w:tcW w:w="7229" w:type="dxa"/>
            <w:tcBorders>
              <w:top w:val="dotted" w:sz="4" w:space="0" w:color="auto"/>
              <w:left w:val="dotted" w:sz="4" w:space="0" w:color="auto"/>
              <w:bottom w:val="dotted" w:sz="4" w:space="0" w:color="auto"/>
              <w:right w:val="dotted" w:sz="4" w:space="0" w:color="auto"/>
            </w:tcBorders>
            <w:hideMark/>
          </w:tcPr>
          <w:p w14:paraId="2E1FF048"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Adoption date</w:t>
            </w:r>
          </w:p>
        </w:tc>
        <w:tc>
          <w:tcPr>
            <w:tcW w:w="2126" w:type="dxa"/>
            <w:tcBorders>
              <w:top w:val="dotted" w:sz="4" w:space="0" w:color="auto"/>
              <w:left w:val="dotted" w:sz="4" w:space="0" w:color="auto"/>
              <w:bottom w:val="dotted" w:sz="4" w:space="0" w:color="auto"/>
              <w:right w:val="double" w:sz="4" w:space="0" w:color="auto"/>
            </w:tcBorders>
          </w:tcPr>
          <w:p w14:paraId="1A51BA86" w14:textId="77777777" w:rsidR="00191915" w:rsidRPr="00537698" w:rsidRDefault="00191915" w:rsidP="00537698">
            <w:pPr>
              <w:spacing w:after="160" w:line="276" w:lineRule="auto"/>
              <w:ind w:left="0" w:firstLine="0"/>
              <w:rPr>
                <w:rFonts w:ascii="Gill Sans MT" w:hAnsi="Gill Sans MT"/>
                <w:b/>
                <w:sz w:val="24"/>
                <w:lang w:val="en-GB"/>
              </w:rPr>
            </w:pPr>
          </w:p>
        </w:tc>
      </w:tr>
      <w:tr w:rsidR="00191915" w:rsidRPr="00191915" w14:paraId="014D9FE5" w14:textId="77777777">
        <w:trPr>
          <w:trHeight w:val="300"/>
        </w:trPr>
        <w:tc>
          <w:tcPr>
            <w:tcW w:w="392" w:type="dxa"/>
            <w:tcBorders>
              <w:top w:val="dotted" w:sz="4" w:space="0" w:color="auto"/>
              <w:left w:val="double" w:sz="4" w:space="0" w:color="auto"/>
              <w:bottom w:val="dotted" w:sz="4" w:space="0" w:color="auto"/>
              <w:right w:val="dotted" w:sz="4" w:space="0" w:color="auto"/>
            </w:tcBorders>
            <w:hideMark/>
          </w:tcPr>
          <w:p w14:paraId="1A53A044"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6</w:t>
            </w:r>
          </w:p>
        </w:tc>
        <w:tc>
          <w:tcPr>
            <w:tcW w:w="7229" w:type="dxa"/>
            <w:tcBorders>
              <w:top w:val="dotted" w:sz="4" w:space="0" w:color="auto"/>
              <w:left w:val="dotted" w:sz="4" w:space="0" w:color="auto"/>
              <w:bottom w:val="dotted" w:sz="4" w:space="0" w:color="auto"/>
              <w:right w:val="dotted" w:sz="4" w:space="0" w:color="auto"/>
            </w:tcBorders>
            <w:hideMark/>
          </w:tcPr>
          <w:p w14:paraId="153812A5"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Effective implementation date</w:t>
            </w:r>
          </w:p>
        </w:tc>
        <w:tc>
          <w:tcPr>
            <w:tcW w:w="2126" w:type="dxa"/>
            <w:tcBorders>
              <w:top w:val="dotted" w:sz="4" w:space="0" w:color="auto"/>
              <w:left w:val="dotted" w:sz="4" w:space="0" w:color="auto"/>
              <w:bottom w:val="dotted" w:sz="4" w:space="0" w:color="auto"/>
              <w:right w:val="double" w:sz="4" w:space="0" w:color="auto"/>
            </w:tcBorders>
          </w:tcPr>
          <w:p w14:paraId="232FF16D" w14:textId="77777777" w:rsidR="00191915" w:rsidRPr="00537698" w:rsidRDefault="00191915" w:rsidP="00537698">
            <w:pPr>
              <w:spacing w:after="160" w:line="276" w:lineRule="auto"/>
              <w:ind w:left="0" w:firstLine="0"/>
              <w:rPr>
                <w:rFonts w:ascii="Gill Sans MT" w:hAnsi="Gill Sans MT"/>
                <w:b/>
                <w:sz w:val="24"/>
                <w:lang w:val="en-GB"/>
              </w:rPr>
            </w:pPr>
          </w:p>
        </w:tc>
      </w:tr>
      <w:tr w:rsidR="00191915" w:rsidRPr="00191915" w14:paraId="61F4EABB" w14:textId="77777777">
        <w:trPr>
          <w:trHeight w:val="300"/>
        </w:trPr>
        <w:tc>
          <w:tcPr>
            <w:tcW w:w="392" w:type="dxa"/>
            <w:tcBorders>
              <w:top w:val="dotted" w:sz="4" w:space="0" w:color="auto"/>
              <w:left w:val="double" w:sz="4" w:space="0" w:color="auto"/>
              <w:bottom w:val="dotted" w:sz="4" w:space="0" w:color="auto"/>
              <w:right w:val="dotted" w:sz="4" w:space="0" w:color="auto"/>
            </w:tcBorders>
            <w:hideMark/>
          </w:tcPr>
          <w:p w14:paraId="19FBB7A3"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7</w:t>
            </w:r>
          </w:p>
        </w:tc>
        <w:tc>
          <w:tcPr>
            <w:tcW w:w="7229" w:type="dxa"/>
            <w:tcBorders>
              <w:top w:val="dotted" w:sz="4" w:space="0" w:color="auto"/>
              <w:left w:val="dotted" w:sz="4" w:space="0" w:color="auto"/>
              <w:bottom w:val="dotted" w:sz="4" w:space="0" w:color="auto"/>
              <w:right w:val="dotted" w:sz="4" w:space="0" w:color="auto"/>
            </w:tcBorders>
            <w:hideMark/>
          </w:tcPr>
          <w:p w14:paraId="68C09878"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Implementation Period</w:t>
            </w:r>
          </w:p>
        </w:tc>
        <w:tc>
          <w:tcPr>
            <w:tcW w:w="2126" w:type="dxa"/>
            <w:tcBorders>
              <w:top w:val="dotted" w:sz="4" w:space="0" w:color="auto"/>
              <w:left w:val="dotted" w:sz="4" w:space="0" w:color="auto"/>
              <w:bottom w:val="dotted" w:sz="4" w:space="0" w:color="auto"/>
              <w:right w:val="double" w:sz="4" w:space="0" w:color="auto"/>
            </w:tcBorders>
          </w:tcPr>
          <w:p w14:paraId="3FA61809" w14:textId="77777777" w:rsidR="00191915" w:rsidRPr="00537698" w:rsidRDefault="00191915" w:rsidP="00537698">
            <w:pPr>
              <w:spacing w:after="160" w:line="276" w:lineRule="auto"/>
              <w:ind w:left="0" w:firstLine="0"/>
              <w:rPr>
                <w:rFonts w:ascii="Gill Sans MT" w:hAnsi="Gill Sans MT"/>
                <w:b/>
                <w:sz w:val="24"/>
                <w:lang w:val="en-GB"/>
              </w:rPr>
            </w:pPr>
          </w:p>
        </w:tc>
      </w:tr>
      <w:tr w:rsidR="00191915" w:rsidRPr="00191915" w14:paraId="143C4FB7" w14:textId="77777777">
        <w:trPr>
          <w:trHeight w:val="300"/>
        </w:trPr>
        <w:tc>
          <w:tcPr>
            <w:tcW w:w="392" w:type="dxa"/>
            <w:tcBorders>
              <w:top w:val="dotted" w:sz="4" w:space="0" w:color="auto"/>
              <w:left w:val="double" w:sz="4" w:space="0" w:color="auto"/>
              <w:bottom w:val="dotted" w:sz="4" w:space="0" w:color="auto"/>
              <w:right w:val="dotted" w:sz="4" w:space="0" w:color="auto"/>
            </w:tcBorders>
            <w:hideMark/>
          </w:tcPr>
          <w:p w14:paraId="0BDE037E"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8</w:t>
            </w:r>
          </w:p>
        </w:tc>
        <w:tc>
          <w:tcPr>
            <w:tcW w:w="7229" w:type="dxa"/>
            <w:tcBorders>
              <w:top w:val="dotted" w:sz="4" w:space="0" w:color="auto"/>
              <w:left w:val="dotted" w:sz="4" w:space="0" w:color="auto"/>
              <w:bottom w:val="dotted" w:sz="4" w:space="0" w:color="auto"/>
              <w:right w:val="dotted" w:sz="4" w:space="0" w:color="auto"/>
            </w:tcBorders>
            <w:hideMark/>
          </w:tcPr>
          <w:p w14:paraId="5F38C067" w14:textId="77777777" w:rsidR="00191915" w:rsidRPr="00537698" w:rsidRDefault="00191915" w:rsidP="00537698">
            <w:pPr>
              <w:spacing w:after="160" w:line="276" w:lineRule="auto"/>
              <w:ind w:left="0" w:firstLine="0"/>
              <w:rPr>
                <w:rFonts w:ascii="Gill Sans MT" w:hAnsi="Gill Sans MT"/>
                <w:sz w:val="24"/>
                <w:lang w:val="en-GB"/>
              </w:rPr>
            </w:pPr>
            <w:r w:rsidRPr="00537698">
              <w:rPr>
                <w:rFonts w:ascii="Gill Sans MT" w:hAnsi="Gill Sans MT"/>
                <w:sz w:val="24"/>
                <w:lang w:val="en-GB"/>
              </w:rPr>
              <w:t>Transition Period</w:t>
            </w:r>
          </w:p>
        </w:tc>
        <w:tc>
          <w:tcPr>
            <w:tcW w:w="2126" w:type="dxa"/>
            <w:tcBorders>
              <w:top w:val="dotted" w:sz="4" w:space="0" w:color="auto"/>
              <w:left w:val="dotted" w:sz="4" w:space="0" w:color="auto"/>
              <w:bottom w:val="dotted" w:sz="4" w:space="0" w:color="auto"/>
              <w:right w:val="double" w:sz="4" w:space="0" w:color="auto"/>
            </w:tcBorders>
          </w:tcPr>
          <w:p w14:paraId="1F3A2223" w14:textId="77777777" w:rsidR="00191915" w:rsidRPr="00537698" w:rsidRDefault="00191915" w:rsidP="00537698">
            <w:pPr>
              <w:spacing w:after="160" w:line="276" w:lineRule="auto"/>
              <w:ind w:left="0" w:firstLine="0"/>
              <w:rPr>
                <w:rFonts w:ascii="Gill Sans MT" w:hAnsi="Gill Sans MT"/>
                <w:b/>
                <w:sz w:val="24"/>
                <w:lang w:val="en-GB"/>
              </w:rPr>
            </w:pPr>
          </w:p>
        </w:tc>
      </w:tr>
    </w:tbl>
    <w:p w14:paraId="68CADF64" w14:textId="77777777" w:rsidR="00191915" w:rsidRPr="00537698" w:rsidRDefault="00191915" w:rsidP="00537698">
      <w:pPr>
        <w:spacing w:after="160" w:line="276" w:lineRule="auto"/>
        <w:ind w:left="0" w:firstLine="0"/>
        <w:rPr>
          <w:rFonts w:ascii="Gill Sans MT" w:hAnsi="Gill Sans MT"/>
          <w:b/>
          <w:sz w:val="24"/>
          <w:lang w:val="en-GB"/>
        </w:rPr>
      </w:pPr>
    </w:p>
    <w:p w14:paraId="1F92C155" w14:textId="349D3A36" w:rsidR="00191915" w:rsidRPr="00537698" w:rsidRDefault="00191915" w:rsidP="00537698">
      <w:pPr>
        <w:spacing w:after="0" w:line="276" w:lineRule="auto"/>
        <w:ind w:left="10" w:hanging="10"/>
        <w:jc w:val="center"/>
        <w:rPr>
          <w:rFonts w:ascii="Gill Sans MT" w:hAnsi="Gill Sans MT"/>
          <w:color w:val="003399"/>
          <w:sz w:val="24"/>
          <w:lang w:val="en-GB"/>
        </w:rPr>
      </w:pPr>
      <w:r w:rsidRPr="00537698">
        <w:rPr>
          <w:rFonts w:ascii="Gill Sans MT" w:hAnsi="Gill Sans MT"/>
          <w:color w:val="003399"/>
          <w:sz w:val="24"/>
          <w:lang w:val="en-GB"/>
        </w:rPr>
        <w:t>Draft for Comments</w:t>
      </w:r>
    </w:p>
    <w:p w14:paraId="5C0F8A35" w14:textId="77777777" w:rsidR="00191915" w:rsidRPr="00191915" w:rsidRDefault="00191915" w:rsidP="00191915">
      <w:pPr>
        <w:spacing w:after="329" w:line="276" w:lineRule="auto"/>
        <w:ind w:left="12" w:firstLine="0"/>
        <w:jc w:val="both"/>
        <w:rPr>
          <w:rFonts w:ascii="Gill Sans MT" w:hAnsi="Gill Sans MT"/>
          <w:sz w:val="24"/>
          <w:lang w:val="en-GB"/>
        </w:rPr>
      </w:pPr>
      <w:r w:rsidRPr="00191915">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5B35F329" w14:textId="77777777" w:rsidR="00191915" w:rsidRPr="00191915" w:rsidRDefault="00191915" w:rsidP="00191915">
      <w:pPr>
        <w:spacing w:after="329" w:line="276" w:lineRule="auto"/>
        <w:ind w:left="12" w:firstLine="0"/>
        <w:jc w:val="both"/>
        <w:rPr>
          <w:rFonts w:ascii="Gill Sans MT" w:hAnsi="Gill Sans MT"/>
          <w:sz w:val="24"/>
          <w:lang w:val="en-GB"/>
        </w:rPr>
      </w:pPr>
      <w:r w:rsidRPr="00191915">
        <w:rPr>
          <w:rFonts w:ascii="Gill Sans MT" w:hAnsi="Gill Sans MT"/>
          <w:sz w:val="24"/>
          <w:lang w:val="en-GB"/>
        </w:rPr>
        <w:t xml:space="preserve"> Comments should be compiled on the accompanying table-for-comments.</w:t>
      </w:r>
      <w:r w:rsidRPr="00191915">
        <w:rPr>
          <w:rFonts w:ascii="Gill Sans MT" w:eastAsia="Times New Roman" w:hAnsi="Gill Sans MT" w:cs="Times New Roman"/>
          <w:b/>
          <w:sz w:val="24"/>
          <w:lang w:val="en-GB"/>
        </w:rPr>
        <w:t xml:space="preserve"> </w:t>
      </w:r>
    </w:p>
    <w:p w14:paraId="5DE2904A" w14:textId="77777777" w:rsidR="00191915" w:rsidRPr="00537698" w:rsidRDefault="00191915" w:rsidP="00537698">
      <w:pPr>
        <w:spacing w:after="160" w:line="276" w:lineRule="auto"/>
        <w:ind w:left="0" w:firstLine="0"/>
        <w:rPr>
          <w:rFonts w:ascii="Gill Sans MT" w:hAnsi="Gill Sans MT"/>
          <w:b/>
          <w:sz w:val="24"/>
          <w:lang w:val="en-GB"/>
        </w:rPr>
      </w:pPr>
      <w:r w:rsidRPr="00537698">
        <w:rPr>
          <w:rFonts w:ascii="Gill Sans MT" w:hAnsi="Gill Sans MT"/>
          <w:b/>
          <w:sz w:val="24"/>
          <w:lang w:val="en-GB"/>
        </w:rPr>
        <w:lastRenderedPageBreak/>
        <w:t xml:space="preserve">Document History </w:t>
      </w:r>
    </w:p>
    <w:p w14:paraId="57C64BCF" w14:textId="77777777" w:rsidR="00191915" w:rsidRPr="00537698" w:rsidRDefault="00191915" w:rsidP="00537698">
      <w:pPr>
        <w:spacing w:after="160" w:line="276" w:lineRule="auto"/>
        <w:ind w:left="0" w:firstLine="0"/>
        <w:rPr>
          <w:rFonts w:ascii="Gill Sans MT" w:hAnsi="Gill Sans MT"/>
          <w:b/>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191915" w:rsidRPr="00191915" w14:paraId="2DD8F737" w14:textId="77777777">
        <w:tc>
          <w:tcPr>
            <w:tcW w:w="1169" w:type="dxa"/>
            <w:tcBorders>
              <w:top w:val="single" w:sz="4" w:space="0" w:color="auto"/>
              <w:left w:val="single" w:sz="4" w:space="0" w:color="auto"/>
              <w:bottom w:val="single" w:sz="4" w:space="0" w:color="auto"/>
              <w:right w:val="single" w:sz="4" w:space="0" w:color="auto"/>
            </w:tcBorders>
            <w:hideMark/>
          </w:tcPr>
          <w:p w14:paraId="6D5737BC" w14:textId="77777777" w:rsidR="00191915" w:rsidRPr="00537698" w:rsidRDefault="00191915" w:rsidP="00537698">
            <w:pPr>
              <w:spacing w:after="160" w:line="276" w:lineRule="auto"/>
              <w:ind w:left="0" w:firstLine="0"/>
              <w:rPr>
                <w:rFonts w:ascii="Gill Sans MT" w:hAnsi="Gill Sans MT"/>
                <w:b/>
                <w:bCs/>
                <w:sz w:val="24"/>
                <w:lang w:val="en-GB"/>
              </w:rPr>
            </w:pPr>
            <w:r w:rsidRPr="00537698">
              <w:rPr>
                <w:rFonts w:ascii="Gill Sans MT" w:hAnsi="Gill Sans MT"/>
                <w:b/>
                <w:bCs/>
                <w:sz w:val="24"/>
                <w:lang w:val="en-GB"/>
              </w:rPr>
              <w:t>Revision Number</w:t>
            </w:r>
          </w:p>
        </w:tc>
        <w:tc>
          <w:tcPr>
            <w:tcW w:w="1938" w:type="dxa"/>
            <w:tcBorders>
              <w:top w:val="single" w:sz="4" w:space="0" w:color="auto"/>
              <w:left w:val="single" w:sz="4" w:space="0" w:color="auto"/>
              <w:bottom w:val="single" w:sz="4" w:space="0" w:color="auto"/>
              <w:right w:val="single" w:sz="4" w:space="0" w:color="auto"/>
            </w:tcBorders>
            <w:hideMark/>
          </w:tcPr>
          <w:p w14:paraId="46022AF2" w14:textId="77777777" w:rsidR="00191915" w:rsidRPr="00537698" w:rsidRDefault="00191915" w:rsidP="00537698">
            <w:pPr>
              <w:spacing w:after="160" w:line="276" w:lineRule="auto"/>
              <w:ind w:left="0" w:firstLine="0"/>
              <w:rPr>
                <w:rFonts w:ascii="Gill Sans MT" w:hAnsi="Gill Sans MT"/>
                <w:b/>
                <w:bCs/>
                <w:sz w:val="24"/>
                <w:lang w:val="en-GB"/>
              </w:rPr>
            </w:pPr>
            <w:r w:rsidRPr="00537698">
              <w:rPr>
                <w:rFonts w:ascii="Gill Sans MT" w:hAnsi="Gill Sans MT"/>
                <w:b/>
                <w:bCs/>
                <w:sz w:val="24"/>
                <w:lang w:val="en-GB"/>
              </w:rPr>
              <w:t>Date implemented</w:t>
            </w:r>
          </w:p>
        </w:tc>
        <w:tc>
          <w:tcPr>
            <w:tcW w:w="5902" w:type="dxa"/>
            <w:tcBorders>
              <w:top w:val="single" w:sz="4" w:space="0" w:color="auto"/>
              <w:left w:val="single" w:sz="4" w:space="0" w:color="auto"/>
              <w:bottom w:val="single" w:sz="4" w:space="0" w:color="auto"/>
              <w:right w:val="single" w:sz="4" w:space="0" w:color="auto"/>
            </w:tcBorders>
            <w:hideMark/>
          </w:tcPr>
          <w:p w14:paraId="5C36654C" w14:textId="77777777" w:rsidR="00191915" w:rsidRPr="00537698" w:rsidRDefault="00191915" w:rsidP="00537698">
            <w:pPr>
              <w:spacing w:after="160" w:line="276" w:lineRule="auto"/>
              <w:ind w:left="0" w:firstLine="0"/>
              <w:rPr>
                <w:rFonts w:ascii="Gill Sans MT" w:hAnsi="Gill Sans MT"/>
                <w:b/>
                <w:bCs/>
                <w:sz w:val="24"/>
                <w:lang w:val="en-GB"/>
              </w:rPr>
            </w:pPr>
            <w:r w:rsidRPr="00537698">
              <w:rPr>
                <w:rFonts w:ascii="Gill Sans MT" w:hAnsi="Gill Sans MT"/>
                <w:b/>
                <w:bCs/>
                <w:sz w:val="24"/>
                <w:lang w:val="en-GB"/>
              </w:rPr>
              <w:t>Reason for Change and Amendments</w:t>
            </w:r>
          </w:p>
        </w:tc>
      </w:tr>
      <w:tr w:rsidR="00191915" w:rsidRPr="00191915" w14:paraId="2DC76D80" w14:textId="77777777">
        <w:tc>
          <w:tcPr>
            <w:tcW w:w="1169" w:type="dxa"/>
            <w:tcBorders>
              <w:top w:val="single" w:sz="4" w:space="0" w:color="auto"/>
              <w:left w:val="single" w:sz="4" w:space="0" w:color="auto"/>
              <w:bottom w:val="single" w:sz="4" w:space="0" w:color="auto"/>
              <w:right w:val="single" w:sz="4" w:space="0" w:color="auto"/>
            </w:tcBorders>
          </w:tcPr>
          <w:p w14:paraId="7790D451" w14:textId="77777777" w:rsidR="00191915" w:rsidRPr="00537698" w:rsidRDefault="00191915" w:rsidP="00537698">
            <w:pPr>
              <w:spacing w:after="160" w:line="276" w:lineRule="auto"/>
              <w:ind w:left="0" w:firstLine="0"/>
              <w:rPr>
                <w:rFonts w:ascii="Gill Sans MT" w:hAnsi="Gill Sans MT"/>
                <w:b/>
                <w:sz w:val="24"/>
                <w:lang w:val="en-GB"/>
              </w:rPr>
            </w:pPr>
          </w:p>
        </w:tc>
        <w:tc>
          <w:tcPr>
            <w:tcW w:w="1938" w:type="dxa"/>
            <w:tcBorders>
              <w:top w:val="single" w:sz="4" w:space="0" w:color="auto"/>
              <w:left w:val="single" w:sz="4" w:space="0" w:color="auto"/>
              <w:bottom w:val="single" w:sz="4" w:space="0" w:color="auto"/>
              <w:right w:val="single" w:sz="4" w:space="0" w:color="auto"/>
            </w:tcBorders>
          </w:tcPr>
          <w:p w14:paraId="0A2E1161" w14:textId="77777777" w:rsidR="00191915" w:rsidRPr="00537698" w:rsidRDefault="00191915" w:rsidP="00537698">
            <w:pPr>
              <w:spacing w:after="160" w:line="276" w:lineRule="auto"/>
              <w:ind w:left="0" w:firstLine="0"/>
              <w:rPr>
                <w:rFonts w:ascii="Gill Sans MT" w:hAnsi="Gill Sans MT"/>
                <w:b/>
                <w:sz w:val="24"/>
                <w:lang w:val="en-GB"/>
              </w:rPr>
            </w:pPr>
          </w:p>
        </w:tc>
        <w:tc>
          <w:tcPr>
            <w:tcW w:w="5902" w:type="dxa"/>
            <w:tcBorders>
              <w:top w:val="single" w:sz="4" w:space="0" w:color="auto"/>
              <w:left w:val="single" w:sz="4" w:space="0" w:color="auto"/>
              <w:bottom w:val="single" w:sz="4" w:space="0" w:color="auto"/>
              <w:right w:val="single" w:sz="4" w:space="0" w:color="auto"/>
            </w:tcBorders>
          </w:tcPr>
          <w:p w14:paraId="245D63B9" w14:textId="77777777" w:rsidR="00191915" w:rsidRPr="00537698" w:rsidRDefault="00191915" w:rsidP="00537698">
            <w:pPr>
              <w:spacing w:after="160" w:line="276" w:lineRule="auto"/>
              <w:ind w:left="0" w:firstLine="0"/>
              <w:rPr>
                <w:rFonts w:ascii="Gill Sans MT" w:hAnsi="Gill Sans MT"/>
                <w:b/>
                <w:sz w:val="24"/>
                <w:lang w:val="en-GB"/>
              </w:rPr>
            </w:pPr>
          </w:p>
        </w:tc>
      </w:tr>
      <w:tr w:rsidR="00191915" w:rsidRPr="00191915" w14:paraId="52E64EE8" w14:textId="77777777">
        <w:tc>
          <w:tcPr>
            <w:tcW w:w="1169" w:type="dxa"/>
            <w:tcBorders>
              <w:top w:val="single" w:sz="4" w:space="0" w:color="auto"/>
              <w:left w:val="single" w:sz="4" w:space="0" w:color="auto"/>
              <w:bottom w:val="single" w:sz="4" w:space="0" w:color="auto"/>
              <w:right w:val="single" w:sz="4" w:space="0" w:color="auto"/>
            </w:tcBorders>
          </w:tcPr>
          <w:p w14:paraId="56C0914E" w14:textId="77777777" w:rsidR="00191915" w:rsidRPr="00537698" w:rsidRDefault="00191915" w:rsidP="00537698">
            <w:pPr>
              <w:spacing w:after="160" w:line="276" w:lineRule="auto"/>
              <w:ind w:left="0" w:firstLine="0"/>
              <w:rPr>
                <w:rFonts w:ascii="Gill Sans MT" w:hAnsi="Gill Sans MT"/>
                <w:b/>
                <w:sz w:val="24"/>
                <w:lang w:val="en-GB"/>
              </w:rPr>
            </w:pPr>
          </w:p>
        </w:tc>
        <w:tc>
          <w:tcPr>
            <w:tcW w:w="1938" w:type="dxa"/>
            <w:tcBorders>
              <w:top w:val="single" w:sz="4" w:space="0" w:color="auto"/>
              <w:left w:val="single" w:sz="4" w:space="0" w:color="auto"/>
              <w:bottom w:val="single" w:sz="4" w:space="0" w:color="auto"/>
              <w:right w:val="single" w:sz="4" w:space="0" w:color="auto"/>
            </w:tcBorders>
          </w:tcPr>
          <w:p w14:paraId="349333F4" w14:textId="77777777" w:rsidR="00191915" w:rsidRPr="00537698" w:rsidRDefault="00191915" w:rsidP="00537698">
            <w:pPr>
              <w:spacing w:after="160" w:line="276" w:lineRule="auto"/>
              <w:ind w:left="0" w:firstLine="0"/>
              <w:rPr>
                <w:rFonts w:ascii="Gill Sans MT" w:hAnsi="Gill Sans MT"/>
                <w:b/>
                <w:sz w:val="24"/>
                <w:lang w:val="en-GB"/>
              </w:rPr>
            </w:pPr>
          </w:p>
        </w:tc>
        <w:tc>
          <w:tcPr>
            <w:tcW w:w="5902" w:type="dxa"/>
            <w:tcBorders>
              <w:top w:val="single" w:sz="4" w:space="0" w:color="auto"/>
              <w:left w:val="single" w:sz="4" w:space="0" w:color="auto"/>
              <w:bottom w:val="single" w:sz="4" w:space="0" w:color="auto"/>
              <w:right w:val="single" w:sz="4" w:space="0" w:color="auto"/>
            </w:tcBorders>
          </w:tcPr>
          <w:p w14:paraId="0E3CF095" w14:textId="77777777" w:rsidR="00191915" w:rsidRPr="00537698" w:rsidRDefault="00191915" w:rsidP="00537698">
            <w:pPr>
              <w:spacing w:after="160" w:line="276" w:lineRule="auto"/>
              <w:ind w:left="0" w:firstLine="0"/>
              <w:rPr>
                <w:rFonts w:ascii="Gill Sans MT" w:hAnsi="Gill Sans MT"/>
                <w:b/>
                <w:sz w:val="24"/>
                <w:lang w:val="en-GB"/>
              </w:rPr>
            </w:pPr>
          </w:p>
        </w:tc>
      </w:tr>
    </w:tbl>
    <w:p w14:paraId="686DFEC2" w14:textId="77777777" w:rsidR="00191915" w:rsidRPr="00537698" w:rsidRDefault="00191915" w:rsidP="00537698">
      <w:pPr>
        <w:spacing w:after="160" w:line="276" w:lineRule="auto"/>
        <w:ind w:left="0" w:firstLine="0"/>
        <w:rPr>
          <w:rFonts w:ascii="Gill Sans MT" w:hAnsi="Gill Sans MT"/>
          <w:b/>
          <w:sz w:val="24"/>
          <w:lang w:val="en-GB"/>
        </w:rPr>
      </w:pPr>
    </w:p>
    <w:p w14:paraId="5ED34891" w14:textId="77777777" w:rsidR="00191915" w:rsidRPr="00537698" w:rsidRDefault="00191915" w:rsidP="00537698">
      <w:pPr>
        <w:spacing w:after="160" w:line="276" w:lineRule="auto"/>
        <w:ind w:left="0" w:firstLine="0"/>
        <w:rPr>
          <w:rFonts w:ascii="Gill Sans MT" w:hAnsi="Gill Sans MT"/>
          <w:b/>
          <w:sz w:val="24"/>
          <w:lang w:val="en-GB"/>
        </w:rPr>
      </w:pPr>
    </w:p>
    <w:p w14:paraId="6A93D8B0" w14:textId="77777777" w:rsidR="00191915" w:rsidRPr="00537698" w:rsidRDefault="00191915" w:rsidP="00537698">
      <w:pPr>
        <w:spacing w:after="160" w:line="276" w:lineRule="auto"/>
        <w:ind w:left="0" w:firstLine="0"/>
        <w:rPr>
          <w:rFonts w:ascii="Gill Sans MT" w:hAnsi="Gill Sans MT"/>
          <w:b/>
          <w:sz w:val="24"/>
          <w:lang w:val="en-GB"/>
        </w:rPr>
      </w:pPr>
    </w:p>
    <w:p w14:paraId="44ECB500" w14:textId="77777777" w:rsidR="00191915" w:rsidRPr="00537698" w:rsidRDefault="00191915" w:rsidP="00537698">
      <w:pPr>
        <w:spacing w:after="160" w:line="276" w:lineRule="auto"/>
        <w:ind w:left="0" w:firstLine="0"/>
        <w:rPr>
          <w:rFonts w:ascii="Gill Sans MT" w:hAnsi="Gill Sans MT"/>
          <w:b/>
          <w:sz w:val="24"/>
          <w:lang w:val="en-GB"/>
        </w:rPr>
      </w:pPr>
      <w:r w:rsidRPr="00537698">
        <w:rPr>
          <w:rFonts w:ascii="Gill Sans MT" w:hAnsi="Gill Sans MT"/>
          <w:b/>
          <w:sz w:val="24"/>
          <w:lang w:val="en-GB"/>
        </w:rPr>
        <w:t xml:space="preserve"> </w:t>
      </w:r>
      <w:r w:rsidRPr="00537698">
        <w:rPr>
          <w:rFonts w:ascii="Gill Sans MT" w:hAnsi="Gill Sans MT"/>
          <w:b/>
          <w:sz w:val="24"/>
          <w:lang w:val="en-GB"/>
        </w:rPr>
        <w:tab/>
        <w:t xml:space="preserve"> </w:t>
      </w:r>
    </w:p>
    <w:p w14:paraId="47E88B67" w14:textId="77777777" w:rsidR="00191915" w:rsidRPr="00537698" w:rsidRDefault="00191915" w:rsidP="00537698">
      <w:pPr>
        <w:spacing w:after="160" w:line="276" w:lineRule="auto"/>
        <w:ind w:left="0" w:firstLine="0"/>
        <w:rPr>
          <w:rFonts w:ascii="Gill Sans MT" w:hAnsi="Gill Sans MT"/>
          <w:b/>
          <w:sz w:val="24"/>
          <w:lang w:val="en-GB"/>
        </w:rPr>
      </w:pPr>
      <w:r w:rsidRPr="00537698">
        <w:rPr>
          <w:rFonts w:ascii="Gill Sans MT" w:hAnsi="Gill Sans MT"/>
          <w:b/>
          <w:sz w:val="24"/>
          <w:lang w:val="en-GB"/>
        </w:rPr>
        <w:br w:type="page"/>
      </w:r>
    </w:p>
    <w:p w14:paraId="4ECBADAF" w14:textId="15B5623F" w:rsidR="000D3DB7" w:rsidRPr="00537698" w:rsidRDefault="000D3DB7" w:rsidP="00537698">
      <w:pPr>
        <w:spacing w:after="160" w:line="276" w:lineRule="auto"/>
        <w:ind w:left="0" w:firstLine="0"/>
        <w:rPr>
          <w:rFonts w:ascii="Gill Sans MT" w:eastAsia="Times New Roman" w:hAnsi="Gill Sans MT" w:cs="Times New Roman"/>
          <w:b/>
          <w:color w:val="auto"/>
          <w:sz w:val="24"/>
        </w:rPr>
      </w:pPr>
      <w:r w:rsidRPr="00537698">
        <w:rPr>
          <w:rFonts w:ascii="Gill Sans MT" w:eastAsia="Times New Roman" w:hAnsi="Gill Sans MT" w:cs="Times New Roman"/>
          <w:b/>
          <w:color w:val="auto"/>
          <w:sz w:val="24"/>
        </w:rPr>
        <w:lastRenderedPageBreak/>
        <w:t xml:space="preserve">PREAMBLE </w:t>
      </w:r>
    </w:p>
    <w:p w14:paraId="76D2F746" w14:textId="371BCAFB" w:rsidR="000D3DB7" w:rsidRPr="00537698" w:rsidRDefault="000D3DB7" w:rsidP="00537698">
      <w:pPr>
        <w:spacing w:after="160" w:line="276" w:lineRule="auto"/>
        <w:ind w:left="0" w:firstLine="0"/>
        <w:rPr>
          <w:rFonts w:ascii="Gill Sans MT" w:eastAsia="Times New Roman" w:hAnsi="Gill Sans MT" w:cs="Times New Roman"/>
          <w:b/>
          <w:color w:val="auto"/>
          <w:sz w:val="24"/>
        </w:rPr>
      </w:pPr>
      <w:r w:rsidRPr="00537698">
        <w:rPr>
          <w:rFonts w:ascii="Gill Sans MT" w:eastAsia="Times New Roman" w:hAnsi="Gill Sans MT" w:cs="Times New Roman"/>
          <w:b/>
          <w:color w:val="auto"/>
          <w:sz w:val="24"/>
        </w:rPr>
        <w:t>Purpose</w:t>
      </w:r>
    </w:p>
    <w:p w14:paraId="4413E918" w14:textId="362C911E" w:rsidR="001F5B00" w:rsidRPr="00537698" w:rsidRDefault="001F5869" w:rsidP="00537698">
      <w:pPr>
        <w:spacing w:after="160" w:line="276" w:lineRule="auto"/>
        <w:ind w:left="0" w:firstLine="0"/>
        <w:jc w:val="both"/>
        <w:rPr>
          <w:rFonts w:ascii="Gill Sans MT" w:eastAsia="Times New Roman" w:hAnsi="Gill Sans MT" w:cs="Times New Roman"/>
          <w:color w:val="auto"/>
          <w:sz w:val="24"/>
        </w:rPr>
      </w:pPr>
      <w:r w:rsidRPr="00537698">
        <w:rPr>
          <w:rFonts w:ascii="Gill Sans MT" w:eastAsia="Times New Roman" w:hAnsi="Gill Sans MT" w:cs="Times New Roman"/>
          <w:color w:val="auto"/>
          <w:sz w:val="24"/>
        </w:rPr>
        <w:t xml:space="preserve">The purpose of this document is to formalize SADC’s adoption and implementation of the </w:t>
      </w:r>
      <w:r w:rsidR="00573664" w:rsidRPr="00537698">
        <w:rPr>
          <w:rFonts w:ascii="Gill Sans MT" w:eastAsia="Times New Roman" w:hAnsi="Gill Sans MT" w:cs="Times New Roman"/>
          <w:color w:val="auto"/>
          <w:sz w:val="24"/>
        </w:rPr>
        <w:t xml:space="preserve">WHO </w:t>
      </w:r>
      <w:r w:rsidR="00EA5BE8" w:rsidRPr="00537698">
        <w:rPr>
          <w:rFonts w:ascii="Gill Sans MT" w:eastAsia="Times New Roman" w:hAnsi="Gill Sans MT" w:cs="Times New Roman"/>
          <w:color w:val="auto"/>
          <w:sz w:val="24"/>
        </w:rPr>
        <w:t>Protocol to conduct equilibrium solubility experiments for the purpose of Biopharmaceutics Classification System-based classification of active pharmaceutical ingredients for biowaiver</w:t>
      </w:r>
      <w:r w:rsidRPr="00537698">
        <w:rPr>
          <w:rFonts w:ascii="Gill Sans MT" w:eastAsia="Times New Roman" w:hAnsi="Gill Sans MT" w:cs="Times New Roman"/>
          <w:color w:val="auto"/>
          <w:sz w:val="24"/>
        </w:rPr>
        <w:t xml:space="preserve">, </w:t>
      </w:r>
      <w:r w:rsidR="00F752B0" w:rsidRPr="00537698">
        <w:rPr>
          <w:rFonts w:ascii="Gill Sans MT" w:eastAsia="Times New Roman" w:hAnsi="Gill Sans MT" w:cs="Times New Roman"/>
          <w:color w:val="auto"/>
          <w:sz w:val="24"/>
        </w:rPr>
        <w:t>to ensure</w:t>
      </w:r>
      <w:r w:rsidRPr="00537698">
        <w:rPr>
          <w:rFonts w:ascii="Gill Sans MT" w:eastAsia="Times New Roman" w:hAnsi="Gill Sans MT" w:cs="Times New Roman"/>
          <w:color w:val="auto"/>
          <w:sz w:val="24"/>
        </w:rPr>
        <w:t xml:space="preserve"> </w:t>
      </w:r>
      <w:r w:rsidR="00374C5F" w:rsidRPr="00537698">
        <w:rPr>
          <w:rFonts w:ascii="Gill Sans MT" w:eastAsia="Times New Roman" w:hAnsi="Gill Sans MT" w:cs="Times New Roman"/>
          <w:color w:val="auto"/>
          <w:sz w:val="24"/>
        </w:rPr>
        <w:t>a harmonized approach when performing solubility studies</w:t>
      </w:r>
      <w:r w:rsidRPr="00537698">
        <w:rPr>
          <w:rFonts w:ascii="Gill Sans MT" w:eastAsia="Times New Roman" w:hAnsi="Gill Sans MT" w:cs="Times New Roman"/>
          <w:color w:val="auto"/>
          <w:sz w:val="24"/>
        </w:rPr>
        <w:t>.</w:t>
      </w:r>
      <w:r w:rsidR="001F5B00" w:rsidRPr="00537698">
        <w:rPr>
          <w:rFonts w:ascii="Gill Sans MT" w:eastAsia="Times New Roman" w:hAnsi="Gill Sans MT" w:cs="Times New Roman"/>
          <w:color w:val="auto"/>
          <w:sz w:val="24"/>
        </w:rPr>
        <w:t xml:space="preserve"> </w:t>
      </w:r>
    </w:p>
    <w:p w14:paraId="4AA9D482" w14:textId="77777777" w:rsidR="00191915" w:rsidRDefault="00191915" w:rsidP="00191915">
      <w:pPr>
        <w:spacing w:after="160" w:line="276" w:lineRule="auto"/>
        <w:ind w:left="0" w:firstLine="0"/>
        <w:rPr>
          <w:rFonts w:ascii="Gill Sans MT" w:eastAsia="Times New Roman" w:hAnsi="Gill Sans MT" w:cs="Times New Roman"/>
          <w:b/>
          <w:color w:val="auto"/>
          <w:sz w:val="24"/>
        </w:rPr>
      </w:pPr>
    </w:p>
    <w:p w14:paraId="366A29F6" w14:textId="1D11B06C" w:rsidR="3DFB0CCC" w:rsidRPr="00537698" w:rsidRDefault="08BF6D82" w:rsidP="00537698">
      <w:pPr>
        <w:spacing w:after="160" w:line="276" w:lineRule="auto"/>
        <w:ind w:left="0" w:firstLine="0"/>
        <w:rPr>
          <w:rFonts w:ascii="Gill Sans MT" w:eastAsia="Times New Roman" w:hAnsi="Gill Sans MT" w:cs="Times New Roman"/>
          <w:b/>
          <w:color w:val="auto"/>
          <w:sz w:val="24"/>
        </w:rPr>
      </w:pPr>
      <w:r w:rsidRPr="00537698">
        <w:rPr>
          <w:rFonts w:ascii="Gill Sans MT" w:eastAsia="Times New Roman" w:hAnsi="Gill Sans MT" w:cs="Times New Roman"/>
          <w:b/>
          <w:color w:val="auto"/>
          <w:sz w:val="24"/>
        </w:rPr>
        <w:t xml:space="preserve">Adoption Statement </w:t>
      </w:r>
    </w:p>
    <w:p w14:paraId="58273DB7" w14:textId="169F346E" w:rsidR="3DFB0CCC" w:rsidRPr="00537698" w:rsidRDefault="08BF6D82" w:rsidP="00537698">
      <w:pPr>
        <w:spacing w:after="160" w:line="276" w:lineRule="auto"/>
        <w:ind w:left="0" w:firstLine="0"/>
        <w:jc w:val="both"/>
        <w:rPr>
          <w:rFonts w:ascii="Gill Sans MT" w:eastAsia="Times New Roman" w:hAnsi="Gill Sans MT" w:cs="Times New Roman"/>
          <w:color w:val="auto"/>
          <w:sz w:val="24"/>
        </w:rPr>
      </w:pPr>
      <w:r w:rsidRPr="00537698">
        <w:rPr>
          <w:rFonts w:ascii="Gill Sans MT" w:eastAsia="Times New Roman" w:hAnsi="Gill Sans MT" w:cs="Times New Roman"/>
          <w:color w:val="auto"/>
          <w:sz w:val="24"/>
        </w:rPr>
        <w:t xml:space="preserve">SADC </w:t>
      </w:r>
      <w:r w:rsidR="00610221" w:rsidRPr="00537698">
        <w:rPr>
          <w:rFonts w:ascii="Gill Sans MT" w:eastAsia="Times New Roman" w:hAnsi="Gill Sans MT" w:cs="Times New Roman"/>
          <w:color w:val="auto"/>
          <w:sz w:val="24"/>
        </w:rPr>
        <w:t xml:space="preserve">formally </w:t>
      </w:r>
      <w:r w:rsidRPr="00537698">
        <w:rPr>
          <w:rFonts w:ascii="Gill Sans MT" w:eastAsia="Times New Roman" w:hAnsi="Gill Sans MT" w:cs="Times New Roman"/>
          <w:color w:val="auto"/>
          <w:sz w:val="24"/>
        </w:rPr>
        <w:t xml:space="preserve">adopts </w:t>
      </w:r>
      <w:r w:rsidR="00473283" w:rsidRPr="00537698">
        <w:rPr>
          <w:rFonts w:ascii="Gill Sans MT" w:eastAsia="Times New Roman" w:hAnsi="Gill Sans MT" w:cs="Times New Roman"/>
          <w:color w:val="auto"/>
          <w:sz w:val="24"/>
        </w:rPr>
        <w:t xml:space="preserve">Annex 4: </w:t>
      </w:r>
      <w:r w:rsidR="001A5CBD" w:rsidRPr="00537698">
        <w:rPr>
          <w:rFonts w:ascii="Gill Sans MT" w:eastAsia="Times New Roman" w:hAnsi="Gill Sans MT" w:cs="Times New Roman"/>
          <w:color w:val="auto"/>
          <w:sz w:val="24"/>
        </w:rPr>
        <w:t>Protocol to conduct equilibrium solubility experiments for the purpose of Biopharmaceutics Classification System-based classification of active pharmaceutical ingredients for biowaiver</w:t>
      </w:r>
      <w:r w:rsidR="00610221" w:rsidRPr="00537698">
        <w:rPr>
          <w:rFonts w:ascii="Gill Sans MT" w:eastAsia="Times New Roman" w:hAnsi="Gill Sans MT" w:cs="Times New Roman"/>
          <w:color w:val="auto"/>
          <w:sz w:val="24"/>
        </w:rPr>
        <w:t xml:space="preserve">, WHO Technical </w:t>
      </w:r>
      <w:r w:rsidR="0058011F" w:rsidRPr="00537698">
        <w:rPr>
          <w:rFonts w:ascii="Gill Sans MT" w:eastAsia="Times New Roman" w:hAnsi="Gill Sans MT" w:cs="Times New Roman"/>
          <w:color w:val="auto"/>
          <w:sz w:val="24"/>
        </w:rPr>
        <w:t>R</w:t>
      </w:r>
      <w:r w:rsidR="00610221" w:rsidRPr="00537698">
        <w:rPr>
          <w:rFonts w:ascii="Gill Sans MT" w:eastAsia="Times New Roman" w:hAnsi="Gill Sans MT" w:cs="Times New Roman"/>
          <w:color w:val="auto"/>
          <w:sz w:val="24"/>
        </w:rPr>
        <w:t>eport Series</w:t>
      </w:r>
      <w:r w:rsidR="004608A1" w:rsidRPr="00537698">
        <w:rPr>
          <w:rFonts w:ascii="Gill Sans MT" w:eastAsia="Times New Roman" w:hAnsi="Gill Sans MT" w:cs="Times New Roman"/>
          <w:color w:val="auto"/>
          <w:sz w:val="24"/>
        </w:rPr>
        <w:t>,</w:t>
      </w:r>
      <w:r w:rsidR="0050393C" w:rsidRPr="00537698">
        <w:rPr>
          <w:rFonts w:ascii="Gill Sans MT" w:eastAsia="Times New Roman" w:hAnsi="Gill Sans MT" w:cs="Times New Roman"/>
          <w:color w:val="auto"/>
          <w:sz w:val="24"/>
        </w:rPr>
        <w:t xml:space="preserve"> No.</w:t>
      </w:r>
      <w:r w:rsidR="00610221" w:rsidRPr="00537698">
        <w:rPr>
          <w:rFonts w:ascii="Gill Sans MT" w:eastAsia="Times New Roman" w:hAnsi="Gill Sans MT" w:cs="Times New Roman"/>
          <w:color w:val="auto"/>
          <w:sz w:val="24"/>
        </w:rPr>
        <w:t xml:space="preserve"> </w:t>
      </w:r>
      <w:r w:rsidR="0058011F" w:rsidRPr="00537698">
        <w:rPr>
          <w:rFonts w:ascii="Gill Sans MT" w:eastAsia="Times New Roman" w:hAnsi="Gill Sans MT" w:cs="Times New Roman"/>
          <w:color w:val="auto"/>
          <w:sz w:val="24"/>
        </w:rPr>
        <w:t>10</w:t>
      </w:r>
      <w:r w:rsidR="00A62673" w:rsidRPr="00537698">
        <w:rPr>
          <w:rFonts w:ascii="Gill Sans MT" w:eastAsia="Times New Roman" w:hAnsi="Gill Sans MT" w:cs="Times New Roman"/>
          <w:color w:val="auto"/>
          <w:sz w:val="24"/>
        </w:rPr>
        <w:t>19</w:t>
      </w:r>
      <w:r w:rsidR="0058011F" w:rsidRPr="00537698">
        <w:rPr>
          <w:rFonts w:ascii="Gill Sans MT" w:eastAsia="Times New Roman" w:hAnsi="Gill Sans MT" w:cs="Times New Roman"/>
          <w:color w:val="auto"/>
          <w:sz w:val="24"/>
        </w:rPr>
        <w:t xml:space="preserve">, </w:t>
      </w:r>
      <w:r w:rsidR="00C20E2B" w:rsidRPr="00537698">
        <w:rPr>
          <w:rFonts w:ascii="Gill Sans MT" w:eastAsia="Times New Roman" w:hAnsi="Gill Sans MT" w:cs="Times New Roman"/>
          <w:color w:val="auto"/>
          <w:sz w:val="24"/>
        </w:rPr>
        <w:t>20</w:t>
      </w:r>
      <w:r w:rsidR="008E5713" w:rsidRPr="00537698">
        <w:rPr>
          <w:rFonts w:ascii="Gill Sans MT" w:eastAsia="Times New Roman" w:hAnsi="Gill Sans MT" w:cs="Times New Roman"/>
          <w:color w:val="auto"/>
          <w:sz w:val="24"/>
        </w:rPr>
        <w:t>19</w:t>
      </w:r>
      <w:r w:rsidRPr="00537698">
        <w:rPr>
          <w:rFonts w:ascii="Gill Sans MT" w:eastAsia="Times New Roman" w:hAnsi="Gill Sans MT" w:cs="Times New Roman"/>
          <w:color w:val="auto"/>
          <w:sz w:val="24"/>
        </w:rPr>
        <w:t xml:space="preserve">. The adoption is effective </w:t>
      </w:r>
      <w:r w:rsidRPr="00537698">
        <w:rPr>
          <w:rFonts w:ascii="Gill Sans MT" w:eastAsia="Times New Roman" w:hAnsi="Gill Sans MT" w:cs="Times New Roman"/>
          <w:color w:val="auto"/>
          <w:sz w:val="24"/>
          <w:highlight w:val="yellow"/>
        </w:rPr>
        <w:t xml:space="preserve">[dd Month </w:t>
      </w:r>
      <w:proofErr w:type="spellStart"/>
      <w:r w:rsidRPr="00537698">
        <w:rPr>
          <w:rFonts w:ascii="Gill Sans MT" w:eastAsia="Times New Roman" w:hAnsi="Gill Sans MT" w:cs="Times New Roman"/>
          <w:color w:val="auto"/>
          <w:sz w:val="24"/>
          <w:highlight w:val="yellow"/>
        </w:rPr>
        <w:t>yyyy</w:t>
      </w:r>
      <w:proofErr w:type="spellEnd"/>
      <w:r w:rsidRPr="00537698">
        <w:rPr>
          <w:rFonts w:ascii="Gill Sans MT" w:eastAsia="Times New Roman" w:hAnsi="Gill Sans MT" w:cs="Times New Roman"/>
          <w:color w:val="auto"/>
          <w:sz w:val="24"/>
        </w:rPr>
        <w:t>]. These requirements apply to SADC Medicines Regulatory Harmonization (Zazibona joint assessments). They also apply to SADC NRAs unless specified otherwise by an individual NRA</w:t>
      </w:r>
      <w:r w:rsidR="00A95499" w:rsidRPr="00537698">
        <w:rPr>
          <w:rFonts w:ascii="Gill Sans MT" w:eastAsia="Times New Roman" w:hAnsi="Gill Sans MT" w:cs="Times New Roman"/>
          <w:color w:val="auto"/>
          <w:sz w:val="24"/>
        </w:rPr>
        <w:t xml:space="preserve"> </w:t>
      </w:r>
      <w:r w:rsidR="00A95499" w:rsidRPr="00537698">
        <w:rPr>
          <w:rFonts w:ascii="Gill Sans MT" w:eastAsia="Times New Roman" w:hAnsi="Gill Sans MT" w:cs="Times New Roman"/>
          <w:color w:val="auto"/>
          <w:sz w:val="24"/>
          <w:highlight w:val="yellow"/>
        </w:rPr>
        <w:t>(published)</w:t>
      </w:r>
      <w:r w:rsidRPr="00537698">
        <w:rPr>
          <w:rFonts w:ascii="Gill Sans MT" w:eastAsia="Times New Roman" w:hAnsi="Gill Sans MT" w:cs="Times New Roman"/>
          <w:color w:val="auto"/>
          <w:sz w:val="24"/>
        </w:rPr>
        <w:t>.</w:t>
      </w:r>
    </w:p>
    <w:p w14:paraId="2C304B75" w14:textId="60FEB2F3" w:rsidR="3DFB0CCC" w:rsidRPr="00537698" w:rsidRDefault="08BF6D82" w:rsidP="00537698">
      <w:pPr>
        <w:spacing w:after="160" w:line="276" w:lineRule="auto"/>
        <w:ind w:left="0" w:firstLine="0"/>
        <w:jc w:val="both"/>
        <w:rPr>
          <w:rFonts w:ascii="Gill Sans MT" w:eastAsia="Times New Roman" w:hAnsi="Gill Sans MT" w:cs="Times New Roman"/>
          <w:color w:val="auto"/>
          <w:sz w:val="24"/>
        </w:rPr>
      </w:pPr>
      <w:r w:rsidRPr="00537698">
        <w:rPr>
          <w:rFonts w:ascii="Gill Sans MT" w:eastAsia="Times New Roman" w:hAnsi="Gill Sans MT" w:cs="Times New Roman"/>
          <w:color w:val="auto"/>
          <w:sz w:val="24"/>
        </w:rPr>
        <w:t>The source guideline is accessible at:</w:t>
      </w:r>
    </w:p>
    <w:p w14:paraId="3DD930D0" w14:textId="6D38A33F" w:rsidR="3DFB0CCC" w:rsidRPr="00537698" w:rsidRDefault="006E3E79" w:rsidP="00537698">
      <w:pPr>
        <w:spacing w:after="160" w:line="276" w:lineRule="auto"/>
        <w:ind w:left="0" w:firstLine="0"/>
        <w:rPr>
          <w:rFonts w:ascii="Gill Sans MT" w:eastAsia="Times New Roman" w:hAnsi="Gill Sans MT" w:cs="Times New Roman"/>
          <w:color w:val="auto"/>
          <w:sz w:val="24"/>
        </w:rPr>
      </w:pPr>
      <w:r w:rsidRPr="00537698">
        <w:rPr>
          <w:rFonts w:ascii="Gill Sans MT" w:hAnsi="Gill Sans MT" w:cs="Times New Roman"/>
          <w:sz w:val="24"/>
          <w:highlight w:val="yellow"/>
        </w:rPr>
        <w:t>https://www.who.int/publications/m/item/annex-4-trs-1019</w:t>
      </w:r>
      <w:r w:rsidR="001F5B00" w:rsidRPr="00537698">
        <w:rPr>
          <w:rFonts w:ascii="Gill Sans MT" w:hAnsi="Gill Sans MT" w:cs="Times New Roman"/>
          <w:sz w:val="24"/>
        </w:rPr>
        <w:t xml:space="preserve"> </w:t>
      </w:r>
    </w:p>
    <w:p w14:paraId="392CF6C5" w14:textId="77777777" w:rsidR="00191915" w:rsidRDefault="00191915" w:rsidP="00191915">
      <w:pPr>
        <w:spacing w:after="160" w:line="276" w:lineRule="auto"/>
        <w:ind w:left="0" w:firstLine="0"/>
        <w:rPr>
          <w:rFonts w:ascii="Gill Sans MT" w:eastAsia="Times New Roman" w:hAnsi="Gill Sans MT" w:cs="Times New Roman"/>
          <w:b/>
          <w:color w:val="auto"/>
          <w:sz w:val="24"/>
        </w:rPr>
      </w:pPr>
    </w:p>
    <w:p w14:paraId="3EEA09AA" w14:textId="4DA7CB3E" w:rsidR="15A9DCF2" w:rsidRPr="00537698" w:rsidRDefault="15A9DCF2" w:rsidP="00537698">
      <w:pPr>
        <w:spacing w:after="160" w:line="276" w:lineRule="auto"/>
        <w:ind w:left="0" w:firstLine="0"/>
        <w:rPr>
          <w:rFonts w:ascii="Gill Sans MT" w:eastAsia="Times New Roman" w:hAnsi="Gill Sans MT" w:cs="Times New Roman"/>
          <w:b/>
          <w:color w:val="auto"/>
          <w:sz w:val="24"/>
        </w:rPr>
      </w:pPr>
      <w:r w:rsidRPr="00537698">
        <w:rPr>
          <w:rFonts w:ascii="Gill Sans MT" w:eastAsia="Times New Roman" w:hAnsi="Gill Sans MT" w:cs="Times New Roman"/>
          <w:b/>
          <w:color w:val="auto"/>
          <w:sz w:val="24"/>
        </w:rPr>
        <w:t>Rationale</w:t>
      </w:r>
      <w:r w:rsidR="2910FE01" w:rsidRPr="00537698">
        <w:rPr>
          <w:rFonts w:ascii="Gill Sans MT" w:eastAsia="Times New Roman" w:hAnsi="Gill Sans MT" w:cs="Times New Roman"/>
          <w:b/>
          <w:color w:val="auto"/>
          <w:sz w:val="24"/>
        </w:rPr>
        <w:t xml:space="preserve"> for Adoption</w:t>
      </w:r>
    </w:p>
    <w:p w14:paraId="7E49A548" w14:textId="2F645B89" w:rsidR="1B73D24F" w:rsidRPr="00537698" w:rsidRDefault="569E706C" w:rsidP="00537698">
      <w:pPr>
        <w:spacing w:after="160" w:line="276" w:lineRule="auto"/>
        <w:ind w:left="0"/>
        <w:jc w:val="both"/>
        <w:rPr>
          <w:rFonts w:ascii="Gill Sans MT" w:eastAsia="Times New Roman" w:hAnsi="Gill Sans MT" w:cs="Times New Roman"/>
          <w:color w:val="auto"/>
          <w:sz w:val="24"/>
        </w:rPr>
      </w:pPr>
      <w:r w:rsidRPr="00537698">
        <w:rPr>
          <w:rFonts w:ascii="Gill Sans MT" w:eastAsia="Times New Roman" w:hAnsi="Gill Sans MT" w:cs="Times New Roman"/>
          <w:color w:val="auto"/>
          <w:sz w:val="24"/>
        </w:rPr>
        <w:t xml:space="preserve">To ensure that the SADC standards are aligned with </w:t>
      </w:r>
      <w:r w:rsidR="16A49D70" w:rsidRPr="00537698">
        <w:rPr>
          <w:rFonts w:ascii="Gill Sans MT" w:eastAsia="Times New Roman" w:hAnsi="Gill Sans MT" w:cs="Times New Roman"/>
          <w:color w:val="auto"/>
          <w:sz w:val="24"/>
        </w:rPr>
        <w:t>international</w:t>
      </w:r>
      <w:r w:rsidRPr="00537698">
        <w:rPr>
          <w:rFonts w:ascii="Gill Sans MT" w:eastAsia="Times New Roman" w:hAnsi="Gill Sans MT" w:cs="Times New Roman"/>
          <w:color w:val="auto"/>
          <w:sz w:val="24"/>
        </w:rPr>
        <w:t xml:space="preserve"> standards</w:t>
      </w:r>
      <w:r w:rsidR="5EBA1399" w:rsidRPr="00537698">
        <w:rPr>
          <w:rFonts w:ascii="Gill Sans MT" w:eastAsia="Times New Roman" w:hAnsi="Gill Sans MT" w:cs="Times New Roman"/>
          <w:color w:val="auto"/>
          <w:sz w:val="24"/>
        </w:rPr>
        <w:t xml:space="preserve"> or </w:t>
      </w:r>
      <w:r w:rsidR="00AE53B5" w:rsidRPr="00537698">
        <w:rPr>
          <w:rFonts w:ascii="Gill Sans MT" w:eastAsia="Times New Roman" w:hAnsi="Gill Sans MT" w:cs="Times New Roman"/>
          <w:color w:val="auto"/>
          <w:sz w:val="24"/>
        </w:rPr>
        <w:t>state-of-the-art</w:t>
      </w:r>
      <w:r w:rsidR="4839DD58" w:rsidRPr="00537698">
        <w:rPr>
          <w:rFonts w:ascii="Gill Sans MT" w:eastAsia="Times New Roman" w:hAnsi="Gill Sans MT" w:cs="Times New Roman"/>
          <w:color w:val="auto"/>
          <w:sz w:val="24"/>
        </w:rPr>
        <w:t xml:space="preserve"> scientific practices</w:t>
      </w:r>
      <w:r w:rsidR="0B4A330F" w:rsidRPr="00537698">
        <w:rPr>
          <w:rFonts w:ascii="Gill Sans MT" w:eastAsia="Times New Roman" w:hAnsi="Gill Sans MT" w:cs="Times New Roman"/>
          <w:color w:val="auto"/>
          <w:sz w:val="24"/>
        </w:rPr>
        <w:t xml:space="preserve">. </w:t>
      </w:r>
      <w:r w:rsidRPr="00537698">
        <w:rPr>
          <w:rFonts w:ascii="Gill Sans MT" w:eastAsia="Times New Roman" w:hAnsi="Gill Sans MT" w:cs="Times New Roman"/>
          <w:color w:val="auto"/>
          <w:sz w:val="24"/>
        </w:rPr>
        <w:t xml:space="preserve">Adopting </w:t>
      </w:r>
      <w:r w:rsidR="06F7194C" w:rsidRPr="00537698">
        <w:rPr>
          <w:rFonts w:ascii="Gill Sans MT" w:eastAsia="Times New Roman" w:hAnsi="Gill Sans MT" w:cs="Times New Roman"/>
          <w:color w:val="auto"/>
          <w:sz w:val="24"/>
        </w:rPr>
        <w:t>international standards such as WHO or ICH</w:t>
      </w:r>
      <w:r w:rsidRPr="00537698">
        <w:rPr>
          <w:rFonts w:ascii="Gill Sans MT" w:eastAsia="Times New Roman" w:hAnsi="Gill Sans MT" w:cs="Times New Roman"/>
          <w:color w:val="auto"/>
          <w:sz w:val="24"/>
        </w:rPr>
        <w:t xml:space="preserve"> </w:t>
      </w:r>
      <w:r w:rsidR="60426D87" w:rsidRPr="00537698">
        <w:rPr>
          <w:rFonts w:ascii="Gill Sans MT" w:eastAsia="Times New Roman" w:hAnsi="Gill Sans MT" w:cs="Times New Roman"/>
          <w:color w:val="auto"/>
          <w:sz w:val="24"/>
        </w:rPr>
        <w:t>reduces</w:t>
      </w:r>
      <w:r w:rsidR="556D47BF" w:rsidRPr="00537698">
        <w:rPr>
          <w:rFonts w:ascii="Gill Sans MT" w:eastAsia="Times New Roman" w:hAnsi="Gill Sans MT" w:cs="Times New Roman"/>
          <w:color w:val="auto"/>
          <w:sz w:val="24"/>
        </w:rPr>
        <w:t xml:space="preserve"> duplication of studies, </w:t>
      </w:r>
      <w:r w:rsidR="64E5630D" w:rsidRPr="00537698">
        <w:rPr>
          <w:rFonts w:ascii="Gill Sans MT" w:eastAsia="Times New Roman" w:hAnsi="Gill Sans MT" w:cs="Times New Roman"/>
          <w:color w:val="auto"/>
          <w:sz w:val="24"/>
        </w:rPr>
        <w:t>promotes information exchange among the regulators</w:t>
      </w:r>
      <w:r w:rsidR="6D2003F6" w:rsidRPr="00537698">
        <w:rPr>
          <w:rFonts w:ascii="Gill Sans MT" w:eastAsia="Times New Roman" w:hAnsi="Gill Sans MT" w:cs="Times New Roman"/>
          <w:color w:val="auto"/>
          <w:sz w:val="24"/>
        </w:rPr>
        <w:t>,</w:t>
      </w:r>
      <w:r w:rsidR="03433238" w:rsidRPr="00537698">
        <w:rPr>
          <w:rFonts w:ascii="Gill Sans MT" w:eastAsia="Times New Roman" w:hAnsi="Gill Sans MT" w:cs="Times New Roman"/>
          <w:color w:val="auto"/>
          <w:sz w:val="24"/>
        </w:rPr>
        <w:t xml:space="preserve"> including reliance</w:t>
      </w:r>
      <w:r w:rsidR="64E5630D" w:rsidRPr="00537698">
        <w:rPr>
          <w:rFonts w:ascii="Gill Sans MT" w:eastAsia="Times New Roman" w:hAnsi="Gill Sans MT" w:cs="Times New Roman"/>
          <w:color w:val="auto"/>
          <w:sz w:val="24"/>
        </w:rPr>
        <w:t>, more efficient assessment, align</w:t>
      </w:r>
      <w:r w:rsidR="72773C1F" w:rsidRPr="00537698">
        <w:rPr>
          <w:rFonts w:ascii="Gill Sans MT" w:eastAsia="Times New Roman" w:hAnsi="Gill Sans MT" w:cs="Times New Roman"/>
          <w:color w:val="auto"/>
          <w:sz w:val="24"/>
        </w:rPr>
        <w:t>s</w:t>
      </w:r>
      <w:r w:rsidR="64E5630D" w:rsidRPr="00537698">
        <w:rPr>
          <w:rFonts w:ascii="Gill Sans MT" w:eastAsia="Times New Roman" w:hAnsi="Gill Sans MT" w:cs="Times New Roman"/>
          <w:color w:val="auto"/>
          <w:sz w:val="24"/>
        </w:rPr>
        <w:t xml:space="preserve"> the region with global standards</w:t>
      </w:r>
      <w:r w:rsidR="2CFDD725" w:rsidRPr="00537698">
        <w:rPr>
          <w:rFonts w:ascii="Gill Sans MT" w:eastAsia="Times New Roman" w:hAnsi="Gill Sans MT" w:cs="Times New Roman"/>
          <w:color w:val="auto"/>
          <w:sz w:val="24"/>
        </w:rPr>
        <w:t>,</w:t>
      </w:r>
      <w:r w:rsidRPr="00537698">
        <w:rPr>
          <w:rFonts w:ascii="Gill Sans MT" w:eastAsia="Times New Roman" w:hAnsi="Gill Sans MT" w:cs="Times New Roman"/>
          <w:color w:val="auto"/>
          <w:sz w:val="24"/>
        </w:rPr>
        <w:t xml:space="preserve"> and ultimately increase</w:t>
      </w:r>
      <w:r w:rsidR="6DF97993" w:rsidRPr="00537698">
        <w:rPr>
          <w:rFonts w:ascii="Gill Sans MT" w:eastAsia="Times New Roman" w:hAnsi="Gill Sans MT" w:cs="Times New Roman"/>
          <w:color w:val="auto"/>
          <w:sz w:val="24"/>
        </w:rPr>
        <w:t>s</w:t>
      </w:r>
      <w:r w:rsidRPr="00537698">
        <w:rPr>
          <w:rFonts w:ascii="Gill Sans MT" w:eastAsia="Times New Roman" w:hAnsi="Gill Sans MT" w:cs="Times New Roman"/>
          <w:color w:val="auto"/>
          <w:sz w:val="24"/>
        </w:rPr>
        <w:t xml:space="preserve"> </w:t>
      </w:r>
      <w:r w:rsidR="09B9468F" w:rsidRPr="00537698">
        <w:rPr>
          <w:rFonts w:ascii="Gill Sans MT" w:eastAsia="Times New Roman" w:hAnsi="Gill Sans MT" w:cs="Times New Roman"/>
          <w:color w:val="auto"/>
          <w:sz w:val="24"/>
        </w:rPr>
        <w:t xml:space="preserve">the </w:t>
      </w:r>
      <w:r w:rsidRPr="00537698">
        <w:rPr>
          <w:rFonts w:ascii="Gill Sans MT" w:eastAsia="Times New Roman" w:hAnsi="Gill Sans MT" w:cs="Times New Roman"/>
          <w:color w:val="auto"/>
          <w:sz w:val="24"/>
        </w:rPr>
        <w:t xml:space="preserve">availability of medicines to the public. The intended benefits of adopting </w:t>
      </w:r>
      <w:r w:rsidR="007E4BCD" w:rsidRPr="00537698">
        <w:rPr>
          <w:rFonts w:ascii="Gill Sans MT" w:eastAsia="Times New Roman" w:hAnsi="Gill Sans MT" w:cs="Times New Roman"/>
          <w:color w:val="auto"/>
          <w:sz w:val="24"/>
        </w:rPr>
        <w:t xml:space="preserve">Annex </w:t>
      </w:r>
      <w:r w:rsidR="00233036" w:rsidRPr="00537698">
        <w:rPr>
          <w:rFonts w:ascii="Gill Sans MT" w:eastAsia="Times New Roman" w:hAnsi="Gill Sans MT" w:cs="Times New Roman"/>
          <w:color w:val="auto"/>
          <w:sz w:val="24"/>
        </w:rPr>
        <w:t xml:space="preserve">4, </w:t>
      </w:r>
      <w:r w:rsidR="002D2BBA" w:rsidRPr="00537698">
        <w:rPr>
          <w:rFonts w:ascii="Gill Sans MT" w:eastAsia="Times New Roman" w:hAnsi="Gill Sans MT" w:cs="Times New Roman"/>
          <w:color w:val="auto"/>
          <w:sz w:val="24"/>
        </w:rPr>
        <w:t xml:space="preserve">WHO TRS </w:t>
      </w:r>
      <w:r w:rsidR="00216A76" w:rsidRPr="00537698">
        <w:rPr>
          <w:rFonts w:ascii="Gill Sans MT" w:eastAsia="Times New Roman" w:hAnsi="Gill Sans MT" w:cs="Times New Roman"/>
          <w:color w:val="auto"/>
          <w:sz w:val="24"/>
        </w:rPr>
        <w:t>1019</w:t>
      </w:r>
      <w:r w:rsidR="00D61C60" w:rsidRPr="00537698">
        <w:rPr>
          <w:rFonts w:ascii="Gill Sans MT" w:eastAsia="Times New Roman" w:hAnsi="Gill Sans MT" w:cs="Times New Roman"/>
          <w:color w:val="auto"/>
          <w:sz w:val="24"/>
        </w:rPr>
        <w:t>,</w:t>
      </w:r>
      <w:r w:rsidR="00216A76" w:rsidRPr="00537698">
        <w:rPr>
          <w:rFonts w:ascii="Gill Sans MT" w:eastAsia="Times New Roman" w:hAnsi="Gill Sans MT" w:cs="Times New Roman"/>
          <w:color w:val="auto"/>
          <w:sz w:val="24"/>
        </w:rPr>
        <w:t xml:space="preserve"> </w:t>
      </w:r>
      <w:r w:rsidRPr="00537698">
        <w:rPr>
          <w:rFonts w:ascii="Gill Sans MT" w:eastAsia="Times New Roman" w:hAnsi="Gill Sans MT" w:cs="Times New Roman"/>
          <w:color w:val="auto"/>
          <w:sz w:val="24"/>
        </w:rPr>
        <w:t>are in</w:t>
      </w:r>
      <w:r w:rsidR="464D5D55" w:rsidRPr="00537698">
        <w:rPr>
          <w:rFonts w:ascii="Gill Sans MT" w:eastAsia="Times New Roman" w:hAnsi="Gill Sans MT" w:cs="Times New Roman"/>
          <w:color w:val="auto"/>
          <w:sz w:val="24"/>
        </w:rPr>
        <w:t xml:space="preserve"> </w:t>
      </w:r>
      <w:r w:rsidRPr="00537698">
        <w:rPr>
          <w:rFonts w:ascii="Gill Sans MT" w:eastAsia="Times New Roman" w:hAnsi="Gill Sans MT" w:cs="Times New Roman"/>
          <w:color w:val="auto"/>
          <w:sz w:val="24"/>
        </w:rPr>
        <w:t>line with the SADC and AU agenda on regional integration and cooperation.</w:t>
      </w:r>
    </w:p>
    <w:p w14:paraId="5B8FA192" w14:textId="77777777" w:rsidR="00191915" w:rsidRDefault="00191915" w:rsidP="00191915">
      <w:pPr>
        <w:spacing w:after="160" w:line="276" w:lineRule="auto"/>
        <w:ind w:left="0" w:firstLine="0"/>
        <w:rPr>
          <w:rFonts w:ascii="Gill Sans MT" w:eastAsia="Times New Roman" w:hAnsi="Gill Sans MT" w:cs="Times New Roman"/>
          <w:b/>
          <w:color w:val="auto"/>
          <w:sz w:val="24"/>
        </w:rPr>
      </w:pPr>
    </w:p>
    <w:p w14:paraId="65868017" w14:textId="45B8BF4C" w:rsidR="000D3DB7" w:rsidRPr="00537698" w:rsidRDefault="65994E2E" w:rsidP="00537698">
      <w:pPr>
        <w:spacing w:after="160" w:line="276" w:lineRule="auto"/>
        <w:ind w:left="0" w:firstLine="0"/>
        <w:rPr>
          <w:rFonts w:ascii="Gill Sans MT" w:eastAsia="Times New Roman" w:hAnsi="Gill Sans MT" w:cs="Times New Roman"/>
          <w:b/>
          <w:color w:val="auto"/>
          <w:sz w:val="24"/>
        </w:rPr>
      </w:pPr>
      <w:r w:rsidRPr="00537698">
        <w:rPr>
          <w:rFonts w:ascii="Gill Sans MT" w:eastAsia="Times New Roman" w:hAnsi="Gill Sans MT" w:cs="Times New Roman"/>
          <w:b/>
          <w:color w:val="auto"/>
          <w:sz w:val="24"/>
        </w:rPr>
        <w:t>Scope</w:t>
      </w:r>
    </w:p>
    <w:p w14:paraId="2298F6F2" w14:textId="6C933151" w:rsidR="000D3DB7" w:rsidRPr="00537698" w:rsidRDefault="00E828F6" w:rsidP="00537698">
      <w:pPr>
        <w:spacing w:after="160" w:line="276" w:lineRule="auto"/>
        <w:ind w:left="0" w:firstLine="0"/>
        <w:jc w:val="both"/>
        <w:rPr>
          <w:rFonts w:ascii="Gill Sans MT" w:eastAsia="Times New Roman" w:hAnsi="Gill Sans MT" w:cs="Times New Roman"/>
          <w:color w:val="auto"/>
          <w:sz w:val="24"/>
        </w:rPr>
      </w:pPr>
      <w:r w:rsidRPr="00537698">
        <w:rPr>
          <w:rFonts w:ascii="Gill Sans MT" w:eastAsia="Times New Roman" w:hAnsi="Gill Sans MT" w:cs="Times New Roman"/>
          <w:color w:val="auto"/>
          <w:sz w:val="24"/>
        </w:rPr>
        <w:t>This document provides guidance on the design and conduct of equilibrium solubility studies for the classification of active pharmaceutical ingredients (APIs) within the Biopharmaceutics Classification System (BCS). The guidance applies specifically to APIs and distinguishes these requirements from dissolution studies applicable to finished pharmaceutical products (FPPs). While a harmoni</w:t>
      </w:r>
      <w:r w:rsidR="009E17FF" w:rsidRPr="00537698">
        <w:rPr>
          <w:rFonts w:ascii="Gill Sans MT" w:eastAsia="Times New Roman" w:hAnsi="Gill Sans MT" w:cs="Times New Roman"/>
          <w:color w:val="auto"/>
          <w:sz w:val="24"/>
        </w:rPr>
        <w:t>z</w:t>
      </w:r>
      <w:r w:rsidRPr="00537698">
        <w:rPr>
          <w:rFonts w:ascii="Gill Sans MT" w:eastAsia="Times New Roman" w:hAnsi="Gill Sans MT" w:cs="Times New Roman"/>
          <w:color w:val="auto"/>
          <w:sz w:val="24"/>
        </w:rPr>
        <w:t>ed study protocol is recommended, alternative scientifically justified approaches, such as phase solubility analysis, may also be acceptable. The guidance supports the WHO biowaiver framework by facilitating reliable assessment of solubility as a critical determinant of bioequivalence, alongside dissolution, absorption, and permeability considerations, to enable informed regulatory decisions on granting biowaivers, particularly for medicines on the WHO Model List of Essential Medicines.</w:t>
      </w:r>
    </w:p>
    <w:p w14:paraId="2B797CDC" w14:textId="18BC6915" w:rsidR="000D3DB7" w:rsidRPr="00537698" w:rsidRDefault="000D3DB7" w:rsidP="00537698">
      <w:pPr>
        <w:spacing w:after="160" w:line="276" w:lineRule="auto"/>
        <w:ind w:left="0" w:firstLine="0"/>
        <w:rPr>
          <w:rFonts w:ascii="Gill Sans MT" w:eastAsia="Times New Roman" w:hAnsi="Gill Sans MT" w:cs="Times New Roman"/>
          <w:color w:val="auto"/>
          <w:sz w:val="24"/>
        </w:rPr>
      </w:pPr>
      <w:r w:rsidRPr="00537698">
        <w:rPr>
          <w:rFonts w:ascii="Gill Sans MT" w:eastAsia="Times New Roman" w:hAnsi="Gill Sans MT" w:cs="Times New Roman"/>
          <w:b/>
          <w:color w:val="auto"/>
          <w:sz w:val="24"/>
        </w:rPr>
        <w:lastRenderedPageBreak/>
        <w:t>Validity</w:t>
      </w:r>
    </w:p>
    <w:p w14:paraId="54B73C1F" w14:textId="18B84879" w:rsidR="00523FC4" w:rsidRPr="00537698" w:rsidRDefault="00F31B9B" w:rsidP="00537698">
      <w:pPr>
        <w:spacing w:after="160" w:line="276" w:lineRule="auto"/>
        <w:ind w:left="0" w:firstLine="0"/>
        <w:jc w:val="both"/>
        <w:rPr>
          <w:rFonts w:ascii="Gill Sans MT" w:eastAsia="Times New Roman" w:hAnsi="Gill Sans MT" w:cs="Times New Roman"/>
          <w:color w:val="auto"/>
          <w:sz w:val="24"/>
        </w:rPr>
      </w:pPr>
      <w:r w:rsidRPr="00537698">
        <w:rPr>
          <w:rFonts w:ascii="Gill Sans MT" w:eastAsia="Times New Roman" w:hAnsi="Gill Sans MT" w:cs="Times New Roman"/>
          <w:color w:val="auto"/>
          <w:sz w:val="24"/>
        </w:rPr>
        <w:t>This document is effective from the date of adoption and shall be reviewed as required, but not later than five (5) years from the effective date.</w:t>
      </w:r>
      <w:r w:rsidR="000D3DB7" w:rsidRPr="00537698">
        <w:rPr>
          <w:rFonts w:ascii="Gill Sans MT" w:eastAsia="Times New Roman" w:hAnsi="Gill Sans MT" w:cs="Times New Roman"/>
          <w:color w:val="auto"/>
          <w:sz w:val="24"/>
        </w:rPr>
        <w:t xml:space="preserve"> </w:t>
      </w:r>
      <w:r w:rsidR="1441A244" w:rsidRPr="00537698">
        <w:rPr>
          <w:rFonts w:ascii="Gill Sans MT" w:eastAsia="Times New Roman" w:hAnsi="Gill Sans MT" w:cs="Times New Roman"/>
          <w:color w:val="auto"/>
          <w:sz w:val="24"/>
        </w:rPr>
        <w:t>In case of revision or updates to the source guideline</w:t>
      </w:r>
      <w:r w:rsidR="251ADF22" w:rsidRPr="00537698">
        <w:rPr>
          <w:rFonts w:ascii="Gill Sans MT" w:eastAsia="Times New Roman" w:hAnsi="Gill Sans MT" w:cs="Times New Roman"/>
          <w:color w:val="auto"/>
          <w:sz w:val="24"/>
        </w:rPr>
        <w:t>,</w:t>
      </w:r>
      <w:r w:rsidR="1441A244" w:rsidRPr="00537698">
        <w:rPr>
          <w:rFonts w:ascii="Gill Sans MT" w:eastAsia="Times New Roman" w:hAnsi="Gill Sans MT" w:cs="Times New Roman"/>
          <w:color w:val="auto"/>
          <w:sz w:val="24"/>
        </w:rPr>
        <w:t xml:space="preserve"> </w:t>
      </w:r>
      <w:r w:rsidR="251ADF22" w:rsidRPr="00537698">
        <w:rPr>
          <w:rFonts w:ascii="Gill Sans MT" w:eastAsia="Times New Roman" w:hAnsi="Gill Sans MT" w:cs="Times New Roman"/>
          <w:color w:val="auto"/>
          <w:sz w:val="24"/>
        </w:rPr>
        <w:t xml:space="preserve">the latest version </w:t>
      </w:r>
      <w:r w:rsidR="4FA961E5" w:rsidRPr="00537698">
        <w:rPr>
          <w:rFonts w:ascii="Gill Sans MT" w:eastAsia="Times New Roman" w:hAnsi="Gill Sans MT" w:cs="Times New Roman"/>
          <w:color w:val="auto"/>
          <w:sz w:val="24"/>
        </w:rPr>
        <w:t xml:space="preserve">automatically </w:t>
      </w:r>
      <w:r w:rsidR="251ADF22" w:rsidRPr="00537698">
        <w:rPr>
          <w:rFonts w:ascii="Gill Sans MT" w:eastAsia="Times New Roman" w:hAnsi="Gill Sans MT" w:cs="Times New Roman"/>
          <w:color w:val="auto"/>
          <w:sz w:val="24"/>
        </w:rPr>
        <w:t>applies</w:t>
      </w:r>
      <w:r w:rsidR="43FD5385" w:rsidRPr="00537698">
        <w:rPr>
          <w:rFonts w:ascii="Gill Sans MT" w:eastAsia="Times New Roman" w:hAnsi="Gill Sans MT" w:cs="Times New Roman"/>
          <w:color w:val="auto"/>
          <w:sz w:val="24"/>
        </w:rPr>
        <w:t>, unless a specific transition period is specified by SADC</w:t>
      </w:r>
      <w:r w:rsidR="251ADF22" w:rsidRPr="00537698">
        <w:rPr>
          <w:rFonts w:ascii="Gill Sans MT" w:eastAsia="Times New Roman" w:hAnsi="Gill Sans MT" w:cs="Times New Roman"/>
          <w:color w:val="auto"/>
          <w:sz w:val="24"/>
        </w:rPr>
        <w:t>.</w:t>
      </w:r>
    </w:p>
    <w:p w14:paraId="17911CC1" w14:textId="77777777" w:rsidR="00191915" w:rsidRDefault="00191915" w:rsidP="00191915">
      <w:pPr>
        <w:spacing w:before="240" w:after="240" w:line="276" w:lineRule="auto"/>
        <w:rPr>
          <w:rFonts w:ascii="Gill Sans MT" w:eastAsia="Times New Roman" w:hAnsi="Gill Sans MT" w:cs="Times New Roman"/>
          <w:b/>
          <w:bCs/>
          <w:color w:val="auto"/>
          <w:sz w:val="24"/>
        </w:rPr>
      </w:pPr>
    </w:p>
    <w:p w14:paraId="236F93C8" w14:textId="0A7076FA" w:rsidR="1C716182" w:rsidRPr="00537698" w:rsidRDefault="50D747A2" w:rsidP="00537698">
      <w:pPr>
        <w:spacing w:before="240" w:after="240" w:line="276" w:lineRule="auto"/>
        <w:rPr>
          <w:rFonts w:ascii="Gill Sans MT" w:eastAsia="Times New Roman" w:hAnsi="Gill Sans MT" w:cs="Times New Roman"/>
          <w:b/>
          <w:color w:val="auto"/>
          <w:sz w:val="24"/>
        </w:rPr>
      </w:pPr>
      <w:r w:rsidRPr="00537698">
        <w:rPr>
          <w:rFonts w:ascii="Gill Sans MT" w:eastAsia="Times New Roman" w:hAnsi="Gill Sans MT" w:cs="Times New Roman"/>
          <w:b/>
          <w:bCs/>
          <w:color w:val="auto"/>
          <w:sz w:val="24"/>
        </w:rPr>
        <w:t>ANNOTATIONS/NOTES</w:t>
      </w:r>
    </w:p>
    <w:p w14:paraId="4745D3B0" w14:textId="5A3622A6" w:rsidR="1C716182" w:rsidRPr="00537698" w:rsidRDefault="00E828F6" w:rsidP="00537698">
      <w:pPr>
        <w:spacing w:after="160" w:line="276" w:lineRule="auto"/>
        <w:ind w:left="0" w:firstLine="0"/>
        <w:rPr>
          <w:rFonts w:ascii="Gill Sans MT" w:eastAsia="Times New Roman" w:hAnsi="Gill Sans MT" w:cs="Times New Roman"/>
          <w:color w:val="auto"/>
          <w:sz w:val="24"/>
        </w:rPr>
      </w:pPr>
      <w:r w:rsidRPr="00537698">
        <w:rPr>
          <w:rFonts w:ascii="Gill Sans MT" w:eastAsia="Times New Roman" w:hAnsi="Gill Sans MT" w:cs="Times New Roman"/>
          <w:color w:val="auto"/>
          <w:sz w:val="24"/>
        </w:rPr>
        <w:t>None</w:t>
      </w:r>
    </w:p>
    <w:p w14:paraId="1814403D" w14:textId="77777777" w:rsidR="00191915" w:rsidRDefault="00191915" w:rsidP="00191915">
      <w:pPr>
        <w:spacing w:after="160" w:line="276" w:lineRule="auto"/>
        <w:ind w:left="0" w:firstLine="0"/>
        <w:rPr>
          <w:rFonts w:ascii="Gill Sans MT" w:eastAsia="Times New Roman" w:hAnsi="Gill Sans MT" w:cs="Times New Roman"/>
          <w:b/>
          <w:color w:val="auto"/>
          <w:sz w:val="24"/>
        </w:rPr>
      </w:pPr>
    </w:p>
    <w:p w14:paraId="29118125" w14:textId="396CA575" w:rsidR="1C716182" w:rsidRPr="00537698" w:rsidRDefault="24F936F4" w:rsidP="00537698">
      <w:pPr>
        <w:spacing w:after="160" w:line="276" w:lineRule="auto"/>
        <w:ind w:left="0" w:firstLine="0"/>
        <w:rPr>
          <w:rFonts w:ascii="Gill Sans MT" w:eastAsia="Times New Roman" w:hAnsi="Gill Sans MT" w:cs="Times New Roman"/>
          <w:b/>
          <w:color w:val="auto"/>
          <w:sz w:val="24"/>
        </w:rPr>
      </w:pPr>
      <w:r w:rsidRPr="00537698">
        <w:rPr>
          <w:rFonts w:ascii="Gill Sans MT" w:eastAsia="Times New Roman" w:hAnsi="Gill Sans MT" w:cs="Times New Roman"/>
          <w:b/>
          <w:color w:val="auto"/>
          <w:sz w:val="24"/>
        </w:rPr>
        <w:t xml:space="preserve">Disclaimer: </w:t>
      </w:r>
    </w:p>
    <w:p w14:paraId="286D827C" w14:textId="0AE9049C" w:rsidR="1C716182" w:rsidRPr="00537698" w:rsidRDefault="24F936F4" w:rsidP="00537698">
      <w:pPr>
        <w:spacing w:after="160" w:line="276" w:lineRule="auto"/>
        <w:ind w:left="0" w:firstLine="0"/>
        <w:jc w:val="both"/>
        <w:rPr>
          <w:rFonts w:ascii="Gill Sans MT" w:eastAsia="Times New Roman" w:hAnsi="Gill Sans MT" w:cs="Times New Roman"/>
          <w:color w:val="auto"/>
          <w:sz w:val="24"/>
        </w:rPr>
      </w:pPr>
      <w:r w:rsidRPr="00537698">
        <w:rPr>
          <w:rFonts w:ascii="Gill Sans MT" w:eastAsia="Times New Roman" w:hAnsi="Gill Sans MT" w:cs="Times New Roman"/>
          <w:color w:val="auto"/>
          <w:sz w:val="24"/>
        </w:rPr>
        <w:t xml:space="preserve">All guidelines adopted/adapted by SADC from international organizations such as WHO, the International Council for </w:t>
      </w:r>
      <w:r w:rsidR="00E5057C" w:rsidRPr="00537698">
        <w:rPr>
          <w:rFonts w:ascii="Gill Sans MT" w:eastAsia="Times New Roman" w:hAnsi="Gill Sans MT" w:cs="Times New Roman"/>
          <w:color w:val="auto"/>
          <w:sz w:val="24"/>
        </w:rPr>
        <w:t>Harmonization</w:t>
      </w:r>
      <w:r w:rsidRPr="00537698">
        <w:rPr>
          <w:rFonts w:ascii="Gill Sans MT" w:eastAsia="Times New Roman" w:hAnsi="Gill Sans MT" w:cs="Times New Roman"/>
          <w:color w:val="auto"/>
          <w:sz w:val="24"/>
        </w:rPr>
        <w:t xml:space="preserve"> of Technical Requirements for Pharmaceuticals for Human Use (ICH)</w:t>
      </w:r>
      <w:r w:rsidR="00E5057C" w:rsidRPr="00537698">
        <w:rPr>
          <w:rFonts w:ascii="Gill Sans MT" w:eastAsia="Times New Roman" w:hAnsi="Gill Sans MT" w:cs="Times New Roman"/>
          <w:color w:val="auto"/>
          <w:sz w:val="24"/>
        </w:rPr>
        <w:t>,</w:t>
      </w:r>
      <w:r w:rsidRPr="00537698">
        <w:rPr>
          <w:rFonts w:ascii="Gill Sans MT" w:eastAsia="Times New Roman" w:hAnsi="Gill Sans MT" w:cs="Times New Roman"/>
          <w:color w:val="auto"/>
          <w:sz w:val="24"/>
        </w:rPr>
        <w:t xml:space="preserve"> must be read in conjunction with the current, applicable SADC guidelines. </w:t>
      </w:r>
    </w:p>
    <w:p w14:paraId="5077801A" w14:textId="4E01F142" w:rsidR="008B12DF" w:rsidRPr="00537698" w:rsidRDefault="24F936F4" w:rsidP="00537698">
      <w:pPr>
        <w:spacing w:after="160" w:line="276" w:lineRule="auto"/>
        <w:ind w:left="0" w:firstLine="0"/>
        <w:jc w:val="both"/>
        <w:rPr>
          <w:rFonts w:ascii="Gill Sans MT" w:hAnsi="Gill Sans MT"/>
          <w:sz w:val="24"/>
        </w:rPr>
      </w:pPr>
      <w:r w:rsidRPr="00537698">
        <w:rPr>
          <w:rFonts w:ascii="Gill Sans MT" w:eastAsia="Times New Roman" w:hAnsi="Gill Sans MT" w:cs="Times New Roman"/>
          <w:color w:val="auto"/>
          <w:sz w:val="24"/>
          <w:highlight w:val="yellow"/>
        </w:rPr>
        <w:t>SADC-Medicines Regulatory Harmonization</w:t>
      </w:r>
      <w:r w:rsidRPr="00537698">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w:t>
      </w:r>
      <w:r w:rsidR="00845CFB" w:rsidRPr="00537698">
        <w:rPr>
          <w:rFonts w:ascii="Gill Sans MT" w:eastAsia="Times New Roman" w:hAnsi="Gill Sans MT" w:cs="Times New Roman"/>
          <w:color w:val="auto"/>
          <w:sz w:val="24"/>
        </w:rPr>
        <w:t>; alternative approaches may be used, provided they are</w:t>
      </w:r>
      <w:r w:rsidRPr="00537698">
        <w:rPr>
          <w:rFonts w:ascii="Gill Sans MT" w:eastAsia="Times New Roman" w:hAnsi="Gill Sans MT" w:cs="Times New Roman"/>
          <w:color w:val="auto"/>
          <w:sz w:val="24"/>
        </w:rPr>
        <w:t xml:space="preserve"> scientifically and technically justified. </w:t>
      </w:r>
      <w:r w:rsidRPr="00537698">
        <w:rPr>
          <w:rFonts w:ascii="Gill Sans MT" w:hAnsi="Gill Sans MT"/>
          <w:color w:val="auto"/>
          <w:sz w:val="24"/>
        </w:rPr>
        <w:t xml:space="preserve"> </w:t>
      </w:r>
    </w:p>
    <w:sectPr w:rsidR="008B12DF" w:rsidRPr="00537698" w:rsidSect="006A4FD4">
      <w:footerReference w:type="even" r:id="rId12"/>
      <w:footerReference w:type="default" r:id="rId13"/>
      <w:footerReference w:type="first" r:id="rId14"/>
      <w:pgSz w:w="11906" w:h="16838"/>
      <w:pgMar w:top="1462" w:right="1259" w:bottom="1420" w:left="1237"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BE5A7" w14:textId="77777777" w:rsidR="001E5BF3" w:rsidRDefault="001E5BF3">
      <w:pPr>
        <w:spacing w:after="0" w:line="240" w:lineRule="auto"/>
      </w:pPr>
      <w:r>
        <w:separator/>
      </w:r>
    </w:p>
  </w:endnote>
  <w:endnote w:type="continuationSeparator" w:id="0">
    <w:p w14:paraId="2A5A0E13" w14:textId="77777777" w:rsidR="001E5BF3" w:rsidRDefault="001E5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00D23D22">
            <v:group id="Group 24085" style="position:absolute;margin-left:62.35pt;margin-top:771.8pt;width:470.6pt;height:.25pt;z-index:251658242;mso-position-horizontal-relative:page;mso-position-vertical-relative:page" coordsize="59763,30" o:spid="_x0000_s1026" w14:anchorId="658DFC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4C00642B">
            <v:group id="Group 24056" style="position:absolute;margin-left:62.35pt;margin-top:771.8pt;width:470.6pt;height:.25pt;z-index:251658243;mso-position-horizontal-relative:page;mso-position-vertical-relative:page" coordsize="59763,30" o:spid="_x0000_s1026" w14:anchorId="37EFE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1A71C51A" w14:textId="583F29A2" w:rsidR="008B12DF" w:rsidRDefault="00134558" w:rsidP="00537698">
    <w:pPr>
      <w:spacing w:after="1" w:line="259" w:lineRule="auto"/>
      <w:ind w:left="10" w:firstLine="0"/>
    </w:pPr>
    <w:r w:rsidRPr="00134558">
      <w:rPr>
        <w:color w:val="6D6F71"/>
        <w:sz w:val="14"/>
        <w:szCs w:val="14"/>
      </w:rPr>
      <w:t>Protocol to Conduct Equilibrium Solubility Experiments for the Purpose of Biopharmaceutics Classification System-based Classification of Active Pharmaceutical Ingredients for Biowaiver</w:t>
    </w:r>
    <w:r w:rsidR="00003456" w:rsidRPr="4DAD952A">
      <w:rPr>
        <w:color w:val="6D6F71"/>
        <w:sz w:val="14"/>
        <w:szCs w:val="14"/>
      </w:rPr>
      <w:t xml:space="preserve">                                                                                                                                               </w:t>
    </w:r>
    <w:r w:rsidR="00070A85">
      <w:tab/>
    </w:r>
    <w:r>
      <w:tab/>
    </w:r>
    <w:r>
      <w:tab/>
    </w:r>
    <w:r>
      <w:tab/>
    </w:r>
    <w:r>
      <w:tab/>
    </w:r>
    <w:r>
      <w:tab/>
    </w:r>
    <w:r>
      <w:tab/>
    </w:r>
    <w:r>
      <w:tab/>
    </w:r>
    <w:r>
      <w:tab/>
    </w:r>
    <w:r>
      <w:tab/>
    </w:r>
    <w:r>
      <w:tab/>
    </w:r>
    <w:r>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68951684">
            <v:group id="Group 24027" style="position:absolute;margin-left:62.35pt;margin-top:771.8pt;width:470.6pt;height:.25pt;z-index:251658244;mso-position-horizontal-relative:page;mso-position-vertical-relative:page" coordsize="59763,30" o:spid="_x0000_s1026" w14:anchorId="54A6A9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E3B57" w14:textId="77777777" w:rsidR="001E5BF3" w:rsidRDefault="001E5BF3">
      <w:pPr>
        <w:spacing w:after="0" w:line="240" w:lineRule="auto"/>
      </w:pPr>
      <w:r>
        <w:separator/>
      </w:r>
    </w:p>
  </w:footnote>
  <w:footnote w:type="continuationSeparator" w:id="0">
    <w:p w14:paraId="2A62DC99" w14:textId="77777777" w:rsidR="001E5BF3" w:rsidRDefault="001E5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6F27"/>
    <w:rsid w:val="000172B6"/>
    <w:rsid w:val="00017BA4"/>
    <w:rsid w:val="000236F6"/>
    <w:rsid w:val="00024C40"/>
    <w:rsid w:val="000309B1"/>
    <w:rsid w:val="000340C4"/>
    <w:rsid w:val="00034521"/>
    <w:rsid w:val="00036045"/>
    <w:rsid w:val="00040B2A"/>
    <w:rsid w:val="00044009"/>
    <w:rsid w:val="00045955"/>
    <w:rsid w:val="00050A20"/>
    <w:rsid w:val="000511D8"/>
    <w:rsid w:val="00051B76"/>
    <w:rsid w:val="00052D7A"/>
    <w:rsid w:val="00056D7C"/>
    <w:rsid w:val="00061165"/>
    <w:rsid w:val="00066A25"/>
    <w:rsid w:val="00070635"/>
    <w:rsid w:val="00070A85"/>
    <w:rsid w:val="0007552A"/>
    <w:rsid w:val="00076559"/>
    <w:rsid w:val="00077B3F"/>
    <w:rsid w:val="00080890"/>
    <w:rsid w:val="00082ACE"/>
    <w:rsid w:val="00082DC5"/>
    <w:rsid w:val="00086149"/>
    <w:rsid w:val="000862E8"/>
    <w:rsid w:val="00097DD2"/>
    <w:rsid w:val="000B3C06"/>
    <w:rsid w:val="000C0144"/>
    <w:rsid w:val="000C05DC"/>
    <w:rsid w:val="000C174B"/>
    <w:rsid w:val="000C1ABE"/>
    <w:rsid w:val="000C257A"/>
    <w:rsid w:val="000C3008"/>
    <w:rsid w:val="000C5A89"/>
    <w:rsid w:val="000C638F"/>
    <w:rsid w:val="000D01FB"/>
    <w:rsid w:val="000D3B04"/>
    <w:rsid w:val="000D3DB7"/>
    <w:rsid w:val="000E38DA"/>
    <w:rsid w:val="000F100A"/>
    <w:rsid w:val="000F2782"/>
    <w:rsid w:val="000F3290"/>
    <w:rsid w:val="000F4D19"/>
    <w:rsid w:val="000F5F2B"/>
    <w:rsid w:val="000F78BD"/>
    <w:rsid w:val="00100B6F"/>
    <w:rsid w:val="00100E03"/>
    <w:rsid w:val="00102DA5"/>
    <w:rsid w:val="00105F76"/>
    <w:rsid w:val="00107012"/>
    <w:rsid w:val="00110B73"/>
    <w:rsid w:val="00117AC8"/>
    <w:rsid w:val="00117FB5"/>
    <w:rsid w:val="001202B6"/>
    <w:rsid w:val="00120A1E"/>
    <w:rsid w:val="00121834"/>
    <w:rsid w:val="00125132"/>
    <w:rsid w:val="00126A3E"/>
    <w:rsid w:val="00127E0E"/>
    <w:rsid w:val="00134558"/>
    <w:rsid w:val="00134D13"/>
    <w:rsid w:val="00135207"/>
    <w:rsid w:val="00135F11"/>
    <w:rsid w:val="0014541A"/>
    <w:rsid w:val="00146DE3"/>
    <w:rsid w:val="001505D7"/>
    <w:rsid w:val="00151D91"/>
    <w:rsid w:val="00152D26"/>
    <w:rsid w:val="00156367"/>
    <w:rsid w:val="00156A4E"/>
    <w:rsid w:val="001670BA"/>
    <w:rsid w:val="001676F5"/>
    <w:rsid w:val="00167947"/>
    <w:rsid w:val="00170567"/>
    <w:rsid w:val="001708F3"/>
    <w:rsid w:val="001728BE"/>
    <w:rsid w:val="00172C70"/>
    <w:rsid w:val="00173470"/>
    <w:rsid w:val="0017469B"/>
    <w:rsid w:val="00174EE8"/>
    <w:rsid w:val="00180EEE"/>
    <w:rsid w:val="00181DF2"/>
    <w:rsid w:val="00186D42"/>
    <w:rsid w:val="00187705"/>
    <w:rsid w:val="00191915"/>
    <w:rsid w:val="001929FE"/>
    <w:rsid w:val="001934BA"/>
    <w:rsid w:val="0019573C"/>
    <w:rsid w:val="001A124A"/>
    <w:rsid w:val="001A409A"/>
    <w:rsid w:val="001A5CBD"/>
    <w:rsid w:val="001A5E09"/>
    <w:rsid w:val="001A7743"/>
    <w:rsid w:val="001B475E"/>
    <w:rsid w:val="001B6A1F"/>
    <w:rsid w:val="001D0416"/>
    <w:rsid w:val="001D3358"/>
    <w:rsid w:val="001D6054"/>
    <w:rsid w:val="001D62C9"/>
    <w:rsid w:val="001D6D18"/>
    <w:rsid w:val="001E3668"/>
    <w:rsid w:val="001E515D"/>
    <w:rsid w:val="001E5BF3"/>
    <w:rsid w:val="001F060F"/>
    <w:rsid w:val="001F5869"/>
    <w:rsid w:val="001F5B00"/>
    <w:rsid w:val="001F6221"/>
    <w:rsid w:val="001F638D"/>
    <w:rsid w:val="001F7CCF"/>
    <w:rsid w:val="00202240"/>
    <w:rsid w:val="00202C30"/>
    <w:rsid w:val="00203375"/>
    <w:rsid w:val="0020490C"/>
    <w:rsid w:val="00206674"/>
    <w:rsid w:val="0020742C"/>
    <w:rsid w:val="002115A4"/>
    <w:rsid w:val="00211600"/>
    <w:rsid w:val="00211F0E"/>
    <w:rsid w:val="002163F7"/>
    <w:rsid w:val="00216A76"/>
    <w:rsid w:val="0023145A"/>
    <w:rsid w:val="00232728"/>
    <w:rsid w:val="00233036"/>
    <w:rsid w:val="00233125"/>
    <w:rsid w:val="00233D29"/>
    <w:rsid w:val="00234432"/>
    <w:rsid w:val="002368A6"/>
    <w:rsid w:val="00240D92"/>
    <w:rsid w:val="0024182A"/>
    <w:rsid w:val="00247150"/>
    <w:rsid w:val="002475F8"/>
    <w:rsid w:val="00250384"/>
    <w:rsid w:val="00252CC0"/>
    <w:rsid w:val="00253857"/>
    <w:rsid w:val="00254CF8"/>
    <w:rsid w:val="00257C5C"/>
    <w:rsid w:val="002703F7"/>
    <w:rsid w:val="00270755"/>
    <w:rsid w:val="00270B8D"/>
    <w:rsid w:val="00271CB0"/>
    <w:rsid w:val="00274AE7"/>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4256"/>
    <w:rsid w:val="002C55F4"/>
    <w:rsid w:val="002C5B94"/>
    <w:rsid w:val="002D2BBA"/>
    <w:rsid w:val="002D71DE"/>
    <w:rsid w:val="002E459C"/>
    <w:rsid w:val="002E5865"/>
    <w:rsid w:val="002F009D"/>
    <w:rsid w:val="002F1CAA"/>
    <w:rsid w:val="002F47EB"/>
    <w:rsid w:val="003030C2"/>
    <w:rsid w:val="00303BA8"/>
    <w:rsid w:val="00306A4F"/>
    <w:rsid w:val="00306E1E"/>
    <w:rsid w:val="00311355"/>
    <w:rsid w:val="0031264A"/>
    <w:rsid w:val="003128B8"/>
    <w:rsid w:val="00315045"/>
    <w:rsid w:val="00315D37"/>
    <w:rsid w:val="00317125"/>
    <w:rsid w:val="00317EEE"/>
    <w:rsid w:val="00321CDC"/>
    <w:rsid w:val="00321F5B"/>
    <w:rsid w:val="00324855"/>
    <w:rsid w:val="0032602D"/>
    <w:rsid w:val="00326212"/>
    <w:rsid w:val="00326D27"/>
    <w:rsid w:val="00326FA7"/>
    <w:rsid w:val="00334C27"/>
    <w:rsid w:val="0033583C"/>
    <w:rsid w:val="00336347"/>
    <w:rsid w:val="0033690B"/>
    <w:rsid w:val="003372D9"/>
    <w:rsid w:val="003408B2"/>
    <w:rsid w:val="00340D86"/>
    <w:rsid w:val="00344FCF"/>
    <w:rsid w:val="003541C5"/>
    <w:rsid w:val="003560CA"/>
    <w:rsid w:val="00357957"/>
    <w:rsid w:val="003643A7"/>
    <w:rsid w:val="003651FE"/>
    <w:rsid w:val="00365540"/>
    <w:rsid w:val="0036663E"/>
    <w:rsid w:val="00367352"/>
    <w:rsid w:val="0037023D"/>
    <w:rsid w:val="00373621"/>
    <w:rsid w:val="003747C3"/>
    <w:rsid w:val="00374C5F"/>
    <w:rsid w:val="003778CF"/>
    <w:rsid w:val="00377F42"/>
    <w:rsid w:val="003814AE"/>
    <w:rsid w:val="00384D9C"/>
    <w:rsid w:val="00386523"/>
    <w:rsid w:val="003918A0"/>
    <w:rsid w:val="00392334"/>
    <w:rsid w:val="003A1B90"/>
    <w:rsid w:val="003A6771"/>
    <w:rsid w:val="003A6A41"/>
    <w:rsid w:val="003A7DB5"/>
    <w:rsid w:val="003B001A"/>
    <w:rsid w:val="003B0D6F"/>
    <w:rsid w:val="003B26C2"/>
    <w:rsid w:val="003B2FD8"/>
    <w:rsid w:val="003B6DE5"/>
    <w:rsid w:val="003C5A5F"/>
    <w:rsid w:val="003D04B3"/>
    <w:rsid w:val="003D1EDF"/>
    <w:rsid w:val="003D25FD"/>
    <w:rsid w:val="003D58A3"/>
    <w:rsid w:val="003D58EF"/>
    <w:rsid w:val="003D6A5D"/>
    <w:rsid w:val="003D713E"/>
    <w:rsid w:val="003E6DB5"/>
    <w:rsid w:val="003F00FC"/>
    <w:rsid w:val="0040045F"/>
    <w:rsid w:val="00401950"/>
    <w:rsid w:val="00402ECC"/>
    <w:rsid w:val="0040393F"/>
    <w:rsid w:val="00403C9E"/>
    <w:rsid w:val="004127C7"/>
    <w:rsid w:val="00412DF9"/>
    <w:rsid w:val="0041689E"/>
    <w:rsid w:val="00422D94"/>
    <w:rsid w:val="00425FD3"/>
    <w:rsid w:val="00426172"/>
    <w:rsid w:val="0042752F"/>
    <w:rsid w:val="00430198"/>
    <w:rsid w:val="00433C34"/>
    <w:rsid w:val="00433DA6"/>
    <w:rsid w:val="0043634A"/>
    <w:rsid w:val="00441B8B"/>
    <w:rsid w:val="004438B6"/>
    <w:rsid w:val="0044475D"/>
    <w:rsid w:val="004455CD"/>
    <w:rsid w:val="00450BD4"/>
    <w:rsid w:val="00452601"/>
    <w:rsid w:val="004608A1"/>
    <w:rsid w:val="004610E6"/>
    <w:rsid w:val="004610E8"/>
    <w:rsid w:val="00461A48"/>
    <w:rsid w:val="004631B9"/>
    <w:rsid w:val="00463CED"/>
    <w:rsid w:val="0047171A"/>
    <w:rsid w:val="004721B8"/>
    <w:rsid w:val="0047280F"/>
    <w:rsid w:val="00473283"/>
    <w:rsid w:val="00481AEF"/>
    <w:rsid w:val="00487160"/>
    <w:rsid w:val="004918DA"/>
    <w:rsid w:val="00491F2C"/>
    <w:rsid w:val="004A199D"/>
    <w:rsid w:val="004A64FA"/>
    <w:rsid w:val="004B167C"/>
    <w:rsid w:val="004B700A"/>
    <w:rsid w:val="004C17B1"/>
    <w:rsid w:val="004C4B8C"/>
    <w:rsid w:val="004C5E7F"/>
    <w:rsid w:val="004D346D"/>
    <w:rsid w:val="004D6AE2"/>
    <w:rsid w:val="004F1074"/>
    <w:rsid w:val="004F2C3E"/>
    <w:rsid w:val="004F4328"/>
    <w:rsid w:val="004F538C"/>
    <w:rsid w:val="004F5DB5"/>
    <w:rsid w:val="00500AD4"/>
    <w:rsid w:val="0050393C"/>
    <w:rsid w:val="00504A2B"/>
    <w:rsid w:val="005056CF"/>
    <w:rsid w:val="00511DB2"/>
    <w:rsid w:val="005129DF"/>
    <w:rsid w:val="00514E50"/>
    <w:rsid w:val="00517853"/>
    <w:rsid w:val="00522183"/>
    <w:rsid w:val="00523FC4"/>
    <w:rsid w:val="0052537E"/>
    <w:rsid w:val="00526728"/>
    <w:rsid w:val="00526A54"/>
    <w:rsid w:val="0053016D"/>
    <w:rsid w:val="00534355"/>
    <w:rsid w:val="00537698"/>
    <w:rsid w:val="00540126"/>
    <w:rsid w:val="00541837"/>
    <w:rsid w:val="00544F4B"/>
    <w:rsid w:val="005459BC"/>
    <w:rsid w:val="005463EE"/>
    <w:rsid w:val="0054734E"/>
    <w:rsid w:val="005514C9"/>
    <w:rsid w:val="00551C73"/>
    <w:rsid w:val="00560303"/>
    <w:rsid w:val="005626EA"/>
    <w:rsid w:val="00562AC3"/>
    <w:rsid w:val="0056443E"/>
    <w:rsid w:val="0056616A"/>
    <w:rsid w:val="00570B71"/>
    <w:rsid w:val="00571808"/>
    <w:rsid w:val="0057254A"/>
    <w:rsid w:val="00573664"/>
    <w:rsid w:val="005739C1"/>
    <w:rsid w:val="0058011F"/>
    <w:rsid w:val="005818EA"/>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4DE4"/>
    <w:rsid w:val="005D77FA"/>
    <w:rsid w:val="005D79BA"/>
    <w:rsid w:val="005E18B7"/>
    <w:rsid w:val="005E26BB"/>
    <w:rsid w:val="005E4DEB"/>
    <w:rsid w:val="005E4F85"/>
    <w:rsid w:val="005F0886"/>
    <w:rsid w:val="005F10FE"/>
    <w:rsid w:val="006040E3"/>
    <w:rsid w:val="0060510C"/>
    <w:rsid w:val="00610221"/>
    <w:rsid w:val="00610786"/>
    <w:rsid w:val="006118AB"/>
    <w:rsid w:val="006128FE"/>
    <w:rsid w:val="006150BC"/>
    <w:rsid w:val="006173D6"/>
    <w:rsid w:val="00620DE4"/>
    <w:rsid w:val="0062166E"/>
    <w:rsid w:val="00626622"/>
    <w:rsid w:val="006322D4"/>
    <w:rsid w:val="00635C0C"/>
    <w:rsid w:val="00644A03"/>
    <w:rsid w:val="006520FA"/>
    <w:rsid w:val="006525B3"/>
    <w:rsid w:val="00653E6D"/>
    <w:rsid w:val="00663AA2"/>
    <w:rsid w:val="00665438"/>
    <w:rsid w:val="006666C0"/>
    <w:rsid w:val="0066686B"/>
    <w:rsid w:val="00671143"/>
    <w:rsid w:val="00673D61"/>
    <w:rsid w:val="00681736"/>
    <w:rsid w:val="00685A53"/>
    <w:rsid w:val="00686C5C"/>
    <w:rsid w:val="0069098F"/>
    <w:rsid w:val="00690E9B"/>
    <w:rsid w:val="006951E9"/>
    <w:rsid w:val="006972D7"/>
    <w:rsid w:val="006979AF"/>
    <w:rsid w:val="006A27AD"/>
    <w:rsid w:val="006A4FD4"/>
    <w:rsid w:val="006A6F4E"/>
    <w:rsid w:val="006B19CB"/>
    <w:rsid w:val="006B1AC3"/>
    <w:rsid w:val="006B5CDE"/>
    <w:rsid w:val="006B7444"/>
    <w:rsid w:val="006C0DE1"/>
    <w:rsid w:val="006C11FA"/>
    <w:rsid w:val="006C1C62"/>
    <w:rsid w:val="006C5063"/>
    <w:rsid w:val="006C597C"/>
    <w:rsid w:val="006C75A4"/>
    <w:rsid w:val="006D0266"/>
    <w:rsid w:val="006D043A"/>
    <w:rsid w:val="006D0552"/>
    <w:rsid w:val="006D24BE"/>
    <w:rsid w:val="006D360D"/>
    <w:rsid w:val="006D4774"/>
    <w:rsid w:val="006D555A"/>
    <w:rsid w:val="006D727F"/>
    <w:rsid w:val="006E0CE6"/>
    <w:rsid w:val="006E2333"/>
    <w:rsid w:val="006E3E79"/>
    <w:rsid w:val="006E5A98"/>
    <w:rsid w:val="006F1429"/>
    <w:rsid w:val="006F1945"/>
    <w:rsid w:val="006F46B0"/>
    <w:rsid w:val="006F528C"/>
    <w:rsid w:val="006F57FD"/>
    <w:rsid w:val="006F58EC"/>
    <w:rsid w:val="007023BC"/>
    <w:rsid w:val="007048F7"/>
    <w:rsid w:val="00704D1D"/>
    <w:rsid w:val="00707864"/>
    <w:rsid w:val="00713ADB"/>
    <w:rsid w:val="00714E7F"/>
    <w:rsid w:val="00715367"/>
    <w:rsid w:val="0071550A"/>
    <w:rsid w:val="0072169B"/>
    <w:rsid w:val="007216D5"/>
    <w:rsid w:val="00722573"/>
    <w:rsid w:val="007229FA"/>
    <w:rsid w:val="0072465C"/>
    <w:rsid w:val="00730D0B"/>
    <w:rsid w:val="00740D7B"/>
    <w:rsid w:val="0074308C"/>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91196"/>
    <w:rsid w:val="007911A5"/>
    <w:rsid w:val="007970D0"/>
    <w:rsid w:val="007A0A4A"/>
    <w:rsid w:val="007A11E2"/>
    <w:rsid w:val="007A1BA2"/>
    <w:rsid w:val="007A28B4"/>
    <w:rsid w:val="007A3C5D"/>
    <w:rsid w:val="007A3E37"/>
    <w:rsid w:val="007A43DE"/>
    <w:rsid w:val="007B01BA"/>
    <w:rsid w:val="007B4338"/>
    <w:rsid w:val="007C040B"/>
    <w:rsid w:val="007C1A85"/>
    <w:rsid w:val="007C45C2"/>
    <w:rsid w:val="007D38BE"/>
    <w:rsid w:val="007D3C48"/>
    <w:rsid w:val="007E4BCD"/>
    <w:rsid w:val="007E5C1B"/>
    <w:rsid w:val="007E7300"/>
    <w:rsid w:val="007F456A"/>
    <w:rsid w:val="007F4C47"/>
    <w:rsid w:val="007F5E5B"/>
    <w:rsid w:val="00802005"/>
    <w:rsid w:val="008049C0"/>
    <w:rsid w:val="00805A82"/>
    <w:rsid w:val="008060B3"/>
    <w:rsid w:val="008145D1"/>
    <w:rsid w:val="00816ED4"/>
    <w:rsid w:val="00821367"/>
    <w:rsid w:val="0082409E"/>
    <w:rsid w:val="008269A8"/>
    <w:rsid w:val="008305EC"/>
    <w:rsid w:val="00832B75"/>
    <w:rsid w:val="00833B3E"/>
    <w:rsid w:val="00833DF7"/>
    <w:rsid w:val="00833E65"/>
    <w:rsid w:val="00836056"/>
    <w:rsid w:val="008430A5"/>
    <w:rsid w:val="0084436F"/>
    <w:rsid w:val="00844611"/>
    <w:rsid w:val="008447F4"/>
    <w:rsid w:val="00845CFB"/>
    <w:rsid w:val="00846F2E"/>
    <w:rsid w:val="00851074"/>
    <w:rsid w:val="00857131"/>
    <w:rsid w:val="008618EB"/>
    <w:rsid w:val="00863A0A"/>
    <w:rsid w:val="008640B8"/>
    <w:rsid w:val="0086691A"/>
    <w:rsid w:val="00871D07"/>
    <w:rsid w:val="008735A6"/>
    <w:rsid w:val="0087398F"/>
    <w:rsid w:val="008748B6"/>
    <w:rsid w:val="00875A74"/>
    <w:rsid w:val="0088043F"/>
    <w:rsid w:val="00881E25"/>
    <w:rsid w:val="00882836"/>
    <w:rsid w:val="0088674B"/>
    <w:rsid w:val="00892C47"/>
    <w:rsid w:val="00895528"/>
    <w:rsid w:val="008A54AD"/>
    <w:rsid w:val="008A7040"/>
    <w:rsid w:val="008A7E83"/>
    <w:rsid w:val="008B0BAE"/>
    <w:rsid w:val="008B12DF"/>
    <w:rsid w:val="008B321D"/>
    <w:rsid w:val="008B6413"/>
    <w:rsid w:val="008B7628"/>
    <w:rsid w:val="008C5207"/>
    <w:rsid w:val="008C60C9"/>
    <w:rsid w:val="008D1C36"/>
    <w:rsid w:val="008D1D37"/>
    <w:rsid w:val="008D633A"/>
    <w:rsid w:val="008E2F79"/>
    <w:rsid w:val="008E3E05"/>
    <w:rsid w:val="008E5713"/>
    <w:rsid w:val="008E7980"/>
    <w:rsid w:val="008F1B67"/>
    <w:rsid w:val="008F5CFE"/>
    <w:rsid w:val="008F6DD2"/>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9150E"/>
    <w:rsid w:val="00992010"/>
    <w:rsid w:val="009A14BD"/>
    <w:rsid w:val="009A15BA"/>
    <w:rsid w:val="009A3C60"/>
    <w:rsid w:val="009A4F09"/>
    <w:rsid w:val="009B1E99"/>
    <w:rsid w:val="009B1F9C"/>
    <w:rsid w:val="009B223F"/>
    <w:rsid w:val="009B701E"/>
    <w:rsid w:val="009B760A"/>
    <w:rsid w:val="009C40DE"/>
    <w:rsid w:val="009C4493"/>
    <w:rsid w:val="009C7073"/>
    <w:rsid w:val="009C7912"/>
    <w:rsid w:val="009D0A92"/>
    <w:rsid w:val="009E17FF"/>
    <w:rsid w:val="009E487A"/>
    <w:rsid w:val="009F052D"/>
    <w:rsid w:val="009F0BC0"/>
    <w:rsid w:val="009F2E3F"/>
    <w:rsid w:val="009F3F94"/>
    <w:rsid w:val="009F4569"/>
    <w:rsid w:val="009F60A8"/>
    <w:rsid w:val="009F66D7"/>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2673"/>
    <w:rsid w:val="00A636A8"/>
    <w:rsid w:val="00A64433"/>
    <w:rsid w:val="00A65F7F"/>
    <w:rsid w:val="00A713BC"/>
    <w:rsid w:val="00A727E0"/>
    <w:rsid w:val="00A72E36"/>
    <w:rsid w:val="00A85896"/>
    <w:rsid w:val="00A8657C"/>
    <w:rsid w:val="00A90D9A"/>
    <w:rsid w:val="00A93139"/>
    <w:rsid w:val="00A937A8"/>
    <w:rsid w:val="00A95499"/>
    <w:rsid w:val="00A96B62"/>
    <w:rsid w:val="00A97144"/>
    <w:rsid w:val="00AA5C10"/>
    <w:rsid w:val="00AA7247"/>
    <w:rsid w:val="00AB1B73"/>
    <w:rsid w:val="00AB4954"/>
    <w:rsid w:val="00AC0581"/>
    <w:rsid w:val="00AD1CE0"/>
    <w:rsid w:val="00AD2100"/>
    <w:rsid w:val="00AD326F"/>
    <w:rsid w:val="00AD62C5"/>
    <w:rsid w:val="00AE1997"/>
    <w:rsid w:val="00AE24FD"/>
    <w:rsid w:val="00AE53B5"/>
    <w:rsid w:val="00AF221A"/>
    <w:rsid w:val="00AF405C"/>
    <w:rsid w:val="00AF4B36"/>
    <w:rsid w:val="00AF51B4"/>
    <w:rsid w:val="00AF57BD"/>
    <w:rsid w:val="00AF64AB"/>
    <w:rsid w:val="00AFC44B"/>
    <w:rsid w:val="00B025E7"/>
    <w:rsid w:val="00B03576"/>
    <w:rsid w:val="00B06113"/>
    <w:rsid w:val="00B07E88"/>
    <w:rsid w:val="00B22E16"/>
    <w:rsid w:val="00B22EED"/>
    <w:rsid w:val="00B2421D"/>
    <w:rsid w:val="00B27405"/>
    <w:rsid w:val="00B278D8"/>
    <w:rsid w:val="00B27C98"/>
    <w:rsid w:val="00B31B46"/>
    <w:rsid w:val="00B33C59"/>
    <w:rsid w:val="00B419E1"/>
    <w:rsid w:val="00B42F7A"/>
    <w:rsid w:val="00B4656B"/>
    <w:rsid w:val="00B50E83"/>
    <w:rsid w:val="00B5229C"/>
    <w:rsid w:val="00B5325C"/>
    <w:rsid w:val="00B5535F"/>
    <w:rsid w:val="00B60D2A"/>
    <w:rsid w:val="00B6634B"/>
    <w:rsid w:val="00B70DD0"/>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A7521"/>
    <w:rsid w:val="00BB0E2F"/>
    <w:rsid w:val="00BB1C4F"/>
    <w:rsid w:val="00BB25CA"/>
    <w:rsid w:val="00BB3437"/>
    <w:rsid w:val="00BB4B0B"/>
    <w:rsid w:val="00BB4EB8"/>
    <w:rsid w:val="00BB5B71"/>
    <w:rsid w:val="00BB616C"/>
    <w:rsid w:val="00BC0923"/>
    <w:rsid w:val="00BD5E28"/>
    <w:rsid w:val="00BD6771"/>
    <w:rsid w:val="00BD7FE3"/>
    <w:rsid w:val="00BE0AAB"/>
    <w:rsid w:val="00BE3443"/>
    <w:rsid w:val="00BE5E45"/>
    <w:rsid w:val="00BF07D5"/>
    <w:rsid w:val="00BF1B50"/>
    <w:rsid w:val="00BF1BF9"/>
    <w:rsid w:val="00BF4403"/>
    <w:rsid w:val="00BF7C03"/>
    <w:rsid w:val="00C10B46"/>
    <w:rsid w:val="00C11DFA"/>
    <w:rsid w:val="00C1426C"/>
    <w:rsid w:val="00C14B01"/>
    <w:rsid w:val="00C20E2B"/>
    <w:rsid w:val="00C2189B"/>
    <w:rsid w:val="00C21EB9"/>
    <w:rsid w:val="00C22972"/>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E95"/>
    <w:rsid w:val="00C578DF"/>
    <w:rsid w:val="00C6095E"/>
    <w:rsid w:val="00C62725"/>
    <w:rsid w:val="00C627C7"/>
    <w:rsid w:val="00C62A9F"/>
    <w:rsid w:val="00C634F4"/>
    <w:rsid w:val="00C66FB6"/>
    <w:rsid w:val="00C70DA4"/>
    <w:rsid w:val="00C722D5"/>
    <w:rsid w:val="00C7626C"/>
    <w:rsid w:val="00C837E4"/>
    <w:rsid w:val="00C84368"/>
    <w:rsid w:val="00C84D26"/>
    <w:rsid w:val="00C942F0"/>
    <w:rsid w:val="00C94C09"/>
    <w:rsid w:val="00C953EE"/>
    <w:rsid w:val="00CA25FA"/>
    <w:rsid w:val="00CB09BE"/>
    <w:rsid w:val="00CB342D"/>
    <w:rsid w:val="00CB48B4"/>
    <w:rsid w:val="00CC25B6"/>
    <w:rsid w:val="00CC2C35"/>
    <w:rsid w:val="00CC7094"/>
    <w:rsid w:val="00CD1911"/>
    <w:rsid w:val="00CE3822"/>
    <w:rsid w:val="00CF08D9"/>
    <w:rsid w:val="00CF60A0"/>
    <w:rsid w:val="00CF69C8"/>
    <w:rsid w:val="00D008E2"/>
    <w:rsid w:val="00D027C7"/>
    <w:rsid w:val="00D04AE9"/>
    <w:rsid w:val="00D0637D"/>
    <w:rsid w:val="00D138B0"/>
    <w:rsid w:val="00D14BF5"/>
    <w:rsid w:val="00D16F22"/>
    <w:rsid w:val="00D24BEF"/>
    <w:rsid w:val="00D25946"/>
    <w:rsid w:val="00D32322"/>
    <w:rsid w:val="00D3314A"/>
    <w:rsid w:val="00D335B6"/>
    <w:rsid w:val="00D379DE"/>
    <w:rsid w:val="00D407E5"/>
    <w:rsid w:val="00D42544"/>
    <w:rsid w:val="00D50147"/>
    <w:rsid w:val="00D51697"/>
    <w:rsid w:val="00D52FE6"/>
    <w:rsid w:val="00D54B76"/>
    <w:rsid w:val="00D56F38"/>
    <w:rsid w:val="00D57A06"/>
    <w:rsid w:val="00D61C60"/>
    <w:rsid w:val="00D627E0"/>
    <w:rsid w:val="00D677C2"/>
    <w:rsid w:val="00D70347"/>
    <w:rsid w:val="00D722F8"/>
    <w:rsid w:val="00D765AF"/>
    <w:rsid w:val="00D81976"/>
    <w:rsid w:val="00D81D09"/>
    <w:rsid w:val="00D82214"/>
    <w:rsid w:val="00D82C88"/>
    <w:rsid w:val="00D86DBB"/>
    <w:rsid w:val="00D9357E"/>
    <w:rsid w:val="00D97B43"/>
    <w:rsid w:val="00DA5F38"/>
    <w:rsid w:val="00DA636C"/>
    <w:rsid w:val="00DB0CBB"/>
    <w:rsid w:val="00DB38F8"/>
    <w:rsid w:val="00DB39CF"/>
    <w:rsid w:val="00DB4923"/>
    <w:rsid w:val="00DB4B0F"/>
    <w:rsid w:val="00DB4F10"/>
    <w:rsid w:val="00DB59D2"/>
    <w:rsid w:val="00DB7E90"/>
    <w:rsid w:val="00DC003B"/>
    <w:rsid w:val="00DC2A18"/>
    <w:rsid w:val="00DC5120"/>
    <w:rsid w:val="00DD4FCD"/>
    <w:rsid w:val="00DD6B08"/>
    <w:rsid w:val="00DD7FA8"/>
    <w:rsid w:val="00DE09B8"/>
    <w:rsid w:val="00DE3505"/>
    <w:rsid w:val="00DE68CD"/>
    <w:rsid w:val="00DF32B1"/>
    <w:rsid w:val="00DF397B"/>
    <w:rsid w:val="00DF5425"/>
    <w:rsid w:val="00E026E6"/>
    <w:rsid w:val="00E03A43"/>
    <w:rsid w:val="00E150CD"/>
    <w:rsid w:val="00E159A6"/>
    <w:rsid w:val="00E1674D"/>
    <w:rsid w:val="00E16907"/>
    <w:rsid w:val="00E22CBA"/>
    <w:rsid w:val="00E26C1A"/>
    <w:rsid w:val="00E34EF7"/>
    <w:rsid w:val="00E36C11"/>
    <w:rsid w:val="00E42C31"/>
    <w:rsid w:val="00E4411D"/>
    <w:rsid w:val="00E444B0"/>
    <w:rsid w:val="00E45DEA"/>
    <w:rsid w:val="00E5057C"/>
    <w:rsid w:val="00E578B6"/>
    <w:rsid w:val="00E61186"/>
    <w:rsid w:val="00E63084"/>
    <w:rsid w:val="00E63142"/>
    <w:rsid w:val="00E6484B"/>
    <w:rsid w:val="00E65982"/>
    <w:rsid w:val="00E70727"/>
    <w:rsid w:val="00E7181F"/>
    <w:rsid w:val="00E733C9"/>
    <w:rsid w:val="00E735D8"/>
    <w:rsid w:val="00E828F6"/>
    <w:rsid w:val="00E85354"/>
    <w:rsid w:val="00E90444"/>
    <w:rsid w:val="00E910CA"/>
    <w:rsid w:val="00E93945"/>
    <w:rsid w:val="00E967BB"/>
    <w:rsid w:val="00EA2A26"/>
    <w:rsid w:val="00EA2D4B"/>
    <w:rsid w:val="00EA5BE8"/>
    <w:rsid w:val="00EA6095"/>
    <w:rsid w:val="00EB06B6"/>
    <w:rsid w:val="00EB15DD"/>
    <w:rsid w:val="00EB19B6"/>
    <w:rsid w:val="00EB26E1"/>
    <w:rsid w:val="00EB3264"/>
    <w:rsid w:val="00EB534E"/>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F27CF"/>
    <w:rsid w:val="00EF563A"/>
    <w:rsid w:val="00EF64DF"/>
    <w:rsid w:val="00EF6D21"/>
    <w:rsid w:val="00EF7A75"/>
    <w:rsid w:val="00F02FF9"/>
    <w:rsid w:val="00F03A09"/>
    <w:rsid w:val="00F05F5D"/>
    <w:rsid w:val="00F075B3"/>
    <w:rsid w:val="00F10A22"/>
    <w:rsid w:val="00F24A33"/>
    <w:rsid w:val="00F2618B"/>
    <w:rsid w:val="00F30E23"/>
    <w:rsid w:val="00F31B9B"/>
    <w:rsid w:val="00F368BB"/>
    <w:rsid w:val="00F409A3"/>
    <w:rsid w:val="00F43821"/>
    <w:rsid w:val="00F44950"/>
    <w:rsid w:val="00F5419E"/>
    <w:rsid w:val="00F54F85"/>
    <w:rsid w:val="00F57EED"/>
    <w:rsid w:val="00F706D2"/>
    <w:rsid w:val="00F715C5"/>
    <w:rsid w:val="00F72254"/>
    <w:rsid w:val="00F74C56"/>
    <w:rsid w:val="00F751B3"/>
    <w:rsid w:val="00F7529A"/>
    <w:rsid w:val="00F752B0"/>
    <w:rsid w:val="00F81752"/>
    <w:rsid w:val="00F828B2"/>
    <w:rsid w:val="00F863AB"/>
    <w:rsid w:val="00F933A4"/>
    <w:rsid w:val="00F96110"/>
    <w:rsid w:val="00FA0009"/>
    <w:rsid w:val="00FA37B4"/>
    <w:rsid w:val="00FB14DA"/>
    <w:rsid w:val="00FB1730"/>
    <w:rsid w:val="00FB1FCA"/>
    <w:rsid w:val="00FC29CF"/>
    <w:rsid w:val="00FC3273"/>
    <w:rsid w:val="00FD3070"/>
    <w:rsid w:val="00FD3DD7"/>
    <w:rsid w:val="00FE02B1"/>
    <w:rsid w:val="00FE60A4"/>
    <w:rsid w:val="00FE6C0F"/>
    <w:rsid w:val="00FF09CF"/>
    <w:rsid w:val="00FF0B4C"/>
    <w:rsid w:val="00FF1EA6"/>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D4CFE5"/>
    <w:rsid w:val="18EB91CA"/>
    <w:rsid w:val="1A162D12"/>
    <w:rsid w:val="1A29BCB5"/>
    <w:rsid w:val="1AB773DC"/>
    <w:rsid w:val="1AFEAAAC"/>
    <w:rsid w:val="1B043924"/>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17FA3B37-058A-4793-B4E5-0CA6381FE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UnresolvedMention">
    <w:name w:val="Unresolved Mention"/>
    <w:basedOn w:val="DefaultParagraphFont"/>
    <w:uiPriority w:val="99"/>
    <w:semiHidden/>
    <w:unhideWhenUsed/>
    <w:rsid w:val="001F5B00"/>
    <w:rPr>
      <w:color w:val="605E5C"/>
      <w:shd w:val="clear" w:color="auto" w:fill="E1DFDD"/>
    </w:rPr>
  </w:style>
  <w:style w:type="table" w:styleId="TableGrid0">
    <w:name w:val="Table Grid"/>
    <w:basedOn w:val="TableNormal"/>
    <w:uiPriority w:val="39"/>
    <w:rsid w:val="00191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6FD38-DDB5-4B5F-9F43-613FF1CE9993}">
  <ds:schemaRefs>
    <ds:schemaRef ds:uri="http://schemas.microsoft.com/sharepoint/v3/contenttype/forms"/>
  </ds:schemaRefs>
</ds:datastoreItem>
</file>

<file path=customXml/itemProps2.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3.xml><?xml version="1.0" encoding="utf-8"?>
<ds:datastoreItem xmlns:ds="http://schemas.openxmlformats.org/officeDocument/2006/customXml" ds:itemID="{A6A40A02-B8C5-4363-8214-740B187065C6}">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4.xml><?xml version="1.0" encoding="utf-8"?>
<ds:datastoreItem xmlns:ds="http://schemas.openxmlformats.org/officeDocument/2006/customXml" ds:itemID="{7DAFDB09-E6F9-405A-83DD-AB8BEA1E3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72d09-8060-4d76-be24-532ec6493c7b"/>
    <ds:schemaRef ds:uri="9db4c84e-eb84-4c1e-9da8-e0e5c3ee5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723</Words>
  <Characters>3754</Characters>
  <Application>Microsoft Office Word</Application>
  <DocSecurity>0</DocSecurity>
  <Lines>156</Lines>
  <Paragraphs>74</Paragraphs>
  <ScaleCrop>false</ScaleCrop>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4</cp:revision>
  <dcterms:created xsi:type="dcterms:W3CDTF">2025-12-03T12:43:00Z</dcterms:created>
  <dcterms:modified xsi:type="dcterms:W3CDTF">2026-03-10T11:58:00Z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